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0E" w:rsidRDefault="00757703" w:rsidP="007577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57703">
        <w:rPr>
          <w:rFonts w:ascii="Times New Roman" w:hAnsi="Times New Roman" w:cs="Times New Roman"/>
          <w:b/>
          <w:sz w:val="28"/>
          <w:szCs w:val="28"/>
          <w:lang w:val="uk-UA"/>
        </w:rPr>
        <w:t>Карпеко Н.М.</w:t>
      </w:r>
    </w:p>
    <w:p w:rsidR="00826C9F" w:rsidRDefault="00757703" w:rsidP="00826C9F">
      <w:pPr>
        <w:widowControl w:val="0"/>
        <w:spacing w:line="360" w:lineRule="auto"/>
        <w:ind w:right="3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</w:pPr>
      <w:r w:rsidRPr="00757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кандидат наук з держ. упр., ст. викладач кафедра управління та організації діяльності в сфері цивільного захисту </w:t>
      </w:r>
      <w:r w:rsidRPr="0075770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>Національного університету цивільного захисту України</w:t>
      </w:r>
    </w:p>
    <w:p w:rsidR="00826C9F" w:rsidRDefault="00826C9F" w:rsidP="00826C9F">
      <w:pPr>
        <w:widowControl w:val="0"/>
        <w:spacing w:line="360" w:lineRule="auto"/>
        <w:ind w:right="3"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9F4E16" w:rsidRDefault="009F4E16" w:rsidP="00826C9F">
      <w:pPr>
        <w:widowControl w:val="0"/>
        <w:spacing w:line="360" w:lineRule="auto"/>
        <w:ind w:right="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F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НСТИТУЦІОНАЛЬНИЙ МЕХАНІЗМ РЕФОРМУВАННЯ ПОДАТКОВОЇ ПОЛІТИКИ</w:t>
      </w:r>
    </w:p>
    <w:p w:rsidR="003C3B8D" w:rsidRDefault="003C3B8D" w:rsidP="009F4E16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Головною метою функціонування інституціонального механізму є досягнення збалансованості податкової політики, що підтримується відповідними інституціональними структурами. Деякі автори вважають, що концептуальним підґрунтям такого балансу має бути принцип рікардіанської еквівалентності, згідно з яким кожна гривня, витрачена державою, компенсується рівноцінним зниженням витрат приватного сектору. Але незалежно від того, звідки беруться кошти на додаткові державні витрати – шляхом підвищення податків чи бюджетного дефіциту, це все одно неправильний підхід, оскільки сьогоднішні позики призводять до нових податків в майбутньому. Крім того, рікардіанська еквівалентність не витримує критики на тлі таких реалістичних явищ як нестабільне життя, утилітарні мотиви у питаннях отримання спадку, розподіл кредитних ресурсів тощо. Тому, на наш погляд, збалансованість податкової політики має ґрунтуватись на оптимальній комбінації довготривалої податкової дисципліни та короткострокової гнучкості податкової політики. 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Зазвичай податкова політика підлягає демократичному нагляду, і всі її заходи затверджуються парламентом. Але це має і зворотній бік, бо призводить не лише до</w:t>
      </w:r>
      <w:r w:rsidR="00E8760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високого рівня політизованості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а і створює можливості для лобізму з боку багатьох груп інтересів, які не дбають про загальносуспільне благо. З цього також випливає ряд відмінностей між податковою та грошово-кредитною політикою. 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По-перше, заходи грошово-кредитної політики можна миттєво обговорювати у віртуальному режимі. Заходи податкової політики, навпаки, підлягають довгому процесу планування, що призводить до втрати дорогоцінного часу. Зокрема, результат, що отримав дозвіл парламенту, може суттєво відрізнятися від початкових намірів уряду і можливо, взагалі не буде впроваджений. Одним із найсильніших аргументів проти дискреційного впровадження податкової політики є </w:t>
      </w:r>
      <w:r w:rsidRPr="00826C9F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 w:bidi="ru-RU"/>
        </w:rPr>
        <w:t>те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що вона часто впроваджується запізно, таким чином дестабілізуючи економіку.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По-друге, політика проводиться у нестабільному світі. Економічні прогнози є вельми неточними і ненадійними в плані визначення найважливіших критичних моментів, які зазвичай потребують зміни політичного курсу. Це потребує не лише швидкої реакції, коли ситуація проясниться, але й зворотної дії, якщо попередні прогнози виявляться невірними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[</w:t>
      </w:r>
      <w:r w:rsidR="004051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16607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с.214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]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цієї різниці можна зробити декілька практичних висновків.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 xml:space="preserve">1. </w:t>
      </w:r>
      <w:r w:rsidRPr="0082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проблемну ситуацію можна виправити одними лише заходами грошово-кредитної політики, то не доцільно залучати податкову політику, слід використовувати лише автоматичні стабілізатори і уникати проциклічного підходу.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 w:bidi="ru-RU"/>
        </w:rPr>
        <w:t>2. Довгостроковий прийнятний рівень заборгованості повинен бути обов’язковим обмеженням. Як відомо, б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ільшість сучасних центральних банків має чіткі і прямі повноваження із забезпечення стабільності цін. Аналогічним поняттям у податковій політиці є прийнятний рівень заборгованості. Не існує прийнятних теорій чи чітких вказівок щодо оптимального рівня заборгованості. Але це також стосується поняття стабільності цін. Органи, відповідальні за формування та реалізацію податкової політики, стикаються з труднощами при визначенні поняття «стабільний рівень заборгованості», як і центральні банки під час визначення довгострокових задач. Але факт в тому, що це має дві функції. По-перше, визначення цього поняття має відповідати очікуванням і формулювати чітку і зрозумілу мету політики. По-друге, полеміка з приводу такого визначення,  відкрите демократичне обговорення не лише додає відповідальності учасникам 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політичного процесу, але й демонструє громадськості необхідність розуміння і підтримки певних заходів податкової політики.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 w:bidi="ru-RU"/>
        </w:rPr>
        <w:t>3.</w:t>
      </w:r>
      <w:r w:rsidRPr="00826C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ru-RU" w:bidi="ru-RU"/>
        </w:rPr>
        <w:t xml:space="preserve"> 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 w:bidi="ru-RU"/>
        </w:rPr>
        <w:t>Має бути обмежена свобода для економічних циклів</w:t>
      </w:r>
      <w:r w:rsidRPr="00826C9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ru-RU" w:bidi="ru-RU"/>
        </w:rPr>
        <w:t xml:space="preserve">. 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Фіскальну політику можна використовувати у якості контрциклічного інструмента, якщо вона здатна підтримувати економічну стабільність.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Складність полягає в тому, що короткочасне послаблення може запустити процес накопичення державного боргу. Це «вибуховий» процес, який передбачає, що необхідно вводити «протиотруту разом з ліками». В ідеалі це слід робити у такому вигляді на декілька років уперед: спочатку розширювати діяльність, а потім боротися зі збільшенням державного боргу, який виник в результаті такого розширення. Однак, враховуючи можливу невизначеність процесу формування фіскальної політики, таке зобов’язання неможливо описати у часовому вираженні, але можна виразити через поняття економічного циклу, вимагаючи погашення заборгованості в період підйому, якщо під час періоду спаду було допущено накопичення державного боргу.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Необхідно забезпечити здатність і можливість податкових органів і відповідних урядових структур реагувати в режимі реального часу. Однією з переваг грошово-кредитної політики у порівнянні з фіскальною політикою є швидкість реагування. Грошово-кредитну політику можна розпланувати і запровадити за короткий період часу. </w:t>
      </w:r>
      <w:r w:rsidR="003B2B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2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онтрциклічне застосування заходів фіскальної політики передбачає, що автоматичні стабілізатори достатньо потужні, а у випадку дискреційних заходів, період з</w:t>
      </w:r>
      <w:r w:rsidRPr="00826C9F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>атримки з плануванням і впровадженням буде суттєво скорочено</w:t>
      </w:r>
      <w:r w:rsidRPr="0082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Третій критерій надзвичайно ускладнить і без того складне завдання. Тому краще прийняти стабілізатори як належне і натомість зосередитися на важливій ролі раціональної дискреційної політики</w:t>
      </w:r>
      <w:r w:rsidR="005659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5907" w:rsidRPr="005659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r w:rsidR="003B2B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3, с.73</w:t>
      </w:r>
      <w:r w:rsidR="00577873" w:rsidRPr="005778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</w:pPr>
      <w:r w:rsidRPr="00826C9F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t xml:space="preserve">5. Довгострокові зобов’язання повинні бути підкріплені певними правовими і політичними заходами. Наразі для грошово-кредитної політики притаманні чіткі довгострокові повноваження в результаті правових заходів, що здійснюються. </w:t>
      </w:r>
      <w:r w:rsidRPr="00826C9F">
        <w:rPr>
          <w:rFonts w:ascii="Times New Roman" w:eastAsia="Times New Roman" w:hAnsi="Times New Roman" w:cs="Times New Roman"/>
          <w:color w:val="000000"/>
          <w:sz w:val="28"/>
          <w:szCs w:val="23"/>
          <w:lang w:val="uk-UA"/>
        </w:rPr>
        <w:lastRenderedPageBreak/>
        <w:t xml:space="preserve">Імператив прийнятного рівня державного боргу для стабільності податково-бюджетної сфери рідко коли підкріплюється аналогічними юридичними повноваженнями. Однак спроби урівноваження бюджету постійно відхилялися не лише в Україні, а й у багатьох інших країнах, причому не лише із суто політичних причин. Однією з проблем таких спроб є те, що вони можуть зробити фіскальну політику надто негнучкою. Досить складно поєднати довгострокове обмеження державного боргу з короткостроковою гнучкістю фіскальної політики. </w:t>
      </w:r>
    </w:p>
    <w:p w:rsidR="00405158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Отже, нова модель податкової політики повинна поєднувати надійне зобов’язання по дотриманню довгострокового прийнятного рівня заборгованості і достатній рівень короткострокової гнучкості, щоб така політика стала контрциклічним інструментом. Для цього потрібно зробити дві речі: </w:t>
      </w:r>
    </w:p>
    <w:p w:rsidR="00405158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визначити довгостроковий прийнятний рівень заборгованості і рівень короткострокової гнучкості; 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створити структури, які будуть виконувати це завдання.</w:t>
      </w:r>
    </w:p>
    <w:p w:rsidR="00405158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Більш перспективним підходом є закріплення зобов’язань у конституціях та інститутах і, як було вказано вище, грошово-кредитна політика є гарним прикладом цьому. Надання центральним банкам чітких закріплених у законах повноважень і незалежності допомогло знизити вірогідність того, що вони відмовляться від своїх зобов’язань. Такий підхід теж не є ідеальним, оскільки закони завжди можуть змінитися. 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Отже, виходячи з розглянутого вище можна визначити декілька способів переформатування фіскальної політики, а саме чотири, якщо виходити з основного питання: який саме стримуючий фактор використати, щоб гарантувати прийнятний рівень заборгованості і, у разі потреби, дозволити впровадження контрциклічної фіскальної політики</w:t>
      </w:r>
      <w:r w:rsidR="00E769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76925" w:rsidRPr="00E769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[</w:t>
      </w:r>
      <w:r w:rsidR="00E769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1, с.148</w:t>
      </w:r>
      <w:r w:rsidR="00E76925" w:rsidRPr="00E769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]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Перший спосіб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це конституційне обмеження рівня заборгованості і дефіциту, як це вже давно застосовується у США. </w:t>
      </w:r>
    </w:p>
    <w:p w:rsidR="00405158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Другий спосіб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це впровадження зовнішнього контролю, наприклад, з боку 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МВФ. 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Третій спосіб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це надання повноважень з прийняття рішень невиборному органу, який знаходиться поза межами прямого впливу з боку держави.</w:t>
      </w:r>
    </w:p>
    <w:p w:rsidR="00405158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Четвертий спосіб</w:t>
      </w: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це впровадження публічно-громадського контролю через налагодження співпраці уряду з інститутами громадянського суспільства, зокрема, недержавними аналітичними центрами. </w:t>
      </w:r>
    </w:p>
    <w:p w:rsidR="00826C9F" w:rsidRPr="00826C9F" w:rsidRDefault="00826C9F" w:rsidP="00826C9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6C9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Хоча на даний час в Україні переважає другий спосіб, що має пояснення, адже це обумовлено більшою, ніж для більшості інших країн, необхідністю співпраці з МВФ та іншими міжнародними фінансовими структурами, проте, на наш погляд, від цього підходу як переважаючого слід поступово відмовлятись і переходити до поєднання третього та четвертого підходів. Саме це забезпечить найкраще поєднання політичної волі уряду до реформування і удосконалення податкової політики, знань і досвіду фахівців у сфері податкової політики та оподаткування і громадського контролю над формуванням та реалізацією податкової політики.</w:t>
      </w:r>
    </w:p>
    <w:p w:rsidR="003C3B8D" w:rsidRDefault="003C3B8D" w:rsidP="009F4E16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C3B8D" w:rsidRDefault="003C3B8D" w:rsidP="003C3B8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2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Список використан</w:t>
      </w:r>
      <w:r w:rsidRPr="000A0B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их джерел</w:t>
      </w:r>
    </w:p>
    <w:p w:rsidR="003C3B8D" w:rsidRDefault="003C3B8D" w:rsidP="003C3B8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C3B8D" w:rsidRPr="00F67037" w:rsidRDefault="003C3B8D" w:rsidP="003C3B8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Ref3442506"/>
      <w:r w:rsidRPr="00F67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Майстро С.В. Теоретико-методологічні засади реалізації державної економічної політики / С.В. Майстро // Теорія та практика державного управління: зб. наук. пр. – Х.: Вид-во ХарРІ НАДУ “Магістр”, 2013. – Вип. 2 (41). – С. 149 – 155.</w:t>
      </w:r>
      <w:bookmarkEnd w:id="1"/>
    </w:p>
    <w:p w:rsidR="003C3B8D" w:rsidRPr="00DE4258" w:rsidRDefault="003C3B8D" w:rsidP="003C3B8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7037">
        <w:rPr>
          <w:rFonts w:ascii="Times New Roman" w:hAnsi="Times New Roman" w:cs="Times New Roman"/>
          <w:sz w:val="28"/>
          <w:szCs w:val="28"/>
          <w:lang w:val="ru-RU"/>
        </w:rPr>
        <w:t xml:space="preserve">Ільєнко, Р. В. Податкова політика держави: виклики, завдання, перспективи // Актуальні проблеми економіки. – 2011. – № 4. – </w:t>
      </w:r>
      <w:r w:rsidRPr="00F67037">
        <w:rPr>
          <w:rFonts w:ascii="Times New Roman" w:hAnsi="Times New Roman" w:cs="Times New Roman"/>
          <w:sz w:val="28"/>
          <w:szCs w:val="28"/>
        </w:rPr>
        <w:t>C</w:t>
      </w:r>
      <w:r w:rsidRPr="00F67037">
        <w:rPr>
          <w:rFonts w:ascii="Times New Roman" w:hAnsi="Times New Roman" w:cs="Times New Roman"/>
          <w:sz w:val="28"/>
          <w:szCs w:val="28"/>
          <w:lang w:val="ru-RU"/>
        </w:rPr>
        <w:t>. 211–216</w:t>
      </w:r>
    </w:p>
    <w:p w:rsidR="003C3B8D" w:rsidRPr="000772B0" w:rsidRDefault="006B34A3" w:rsidP="003C3B8D">
      <w:pPr>
        <w:widowControl w:val="0"/>
        <w:numPr>
          <w:ilvl w:val="0"/>
          <w:numId w:val="1"/>
        </w:numPr>
        <w:tabs>
          <w:tab w:val="left" w:pos="0"/>
          <w:tab w:val="num" w:pos="709"/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hyperlink r:id="rId6" w:history="1">
        <w:r w:rsidR="003C3B8D" w:rsidRPr="000772B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ru-RU"/>
          </w:rPr>
          <w:t>Турянський Ю</w:t>
        </w:r>
        <w:r w:rsidR="003C3B8D" w:rsidRPr="000772B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.</w:t>
        </w:r>
        <w:r w:rsidR="003C3B8D" w:rsidRPr="000772B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ru-RU"/>
          </w:rPr>
          <w:t xml:space="preserve"> І</w:t>
        </w:r>
      </w:hyperlink>
      <w:r w:rsidR="003C3B8D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3C3B8D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3B8D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Макроекономічне</w:t>
      </w:r>
      <w:r w:rsidR="003C3B8D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3B8D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податкове регулювання розвитку національної економіки [Текст] / Ю. І. Турянський. – Львів : Растр-7, 2016.  – 363 с.</w:t>
      </w:r>
    </w:p>
    <w:p w:rsidR="003C3B8D" w:rsidRPr="003C398B" w:rsidRDefault="003C3B8D" w:rsidP="003C3B8D">
      <w:pPr>
        <w:tabs>
          <w:tab w:val="num" w:pos="709"/>
        </w:tabs>
        <w:ind w:firstLine="709"/>
        <w:rPr>
          <w:color w:val="000000" w:themeColor="text1"/>
          <w:lang w:val="uk-UA"/>
        </w:rPr>
      </w:pPr>
    </w:p>
    <w:p w:rsidR="003C3B8D" w:rsidRPr="009F4E16" w:rsidRDefault="003C3B8D" w:rsidP="009F4E16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57703" w:rsidRPr="00757703" w:rsidRDefault="00757703" w:rsidP="007577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57703" w:rsidRPr="00757703" w:rsidSect="0075770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55F5"/>
    <w:multiLevelType w:val="hybridMultilevel"/>
    <w:tmpl w:val="82AEDE86"/>
    <w:lvl w:ilvl="0" w:tplc="791A5794">
      <w:start w:val="1"/>
      <w:numFmt w:val="decimal"/>
      <w:pStyle w:val="4"/>
      <w:lvlText w:val="%1."/>
      <w:lvlJc w:val="left"/>
      <w:pPr>
        <w:ind w:left="720" w:hanging="360"/>
      </w:pPr>
      <w:rPr>
        <w:i w:val="0"/>
      </w:rPr>
    </w:lvl>
    <w:lvl w:ilvl="1" w:tplc="81ECA64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75"/>
    <w:rsid w:val="00166079"/>
    <w:rsid w:val="00264E0E"/>
    <w:rsid w:val="003B2BF9"/>
    <w:rsid w:val="003C3B8D"/>
    <w:rsid w:val="00405158"/>
    <w:rsid w:val="00565907"/>
    <w:rsid w:val="00577873"/>
    <w:rsid w:val="006B34A3"/>
    <w:rsid w:val="00757703"/>
    <w:rsid w:val="00826C9F"/>
    <w:rsid w:val="008A7B02"/>
    <w:rsid w:val="009F4E16"/>
    <w:rsid w:val="00AB2F8F"/>
    <w:rsid w:val="00DB2575"/>
    <w:rsid w:val="00E76925"/>
    <w:rsid w:val="00E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B18D-E781-4EE1-A713-FD12E1A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C3B8D"/>
    <w:pPr>
      <w:widowControl w:val="0"/>
      <w:numPr>
        <w:numId w:val="1"/>
      </w:numPr>
      <w:tabs>
        <w:tab w:val="left" w:pos="1134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3B8D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A2%D1%83%D1%80%D1%8F%D0%BD%D1%81%D1%8C%D0%BA%D0%B8%D0%B9%20%D0%AE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F94A-01DB-47E5-8E96-835B396F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2022-12-09T15:56:00Z</dcterms:created>
  <dcterms:modified xsi:type="dcterms:W3CDTF">2022-12-09T15:56:00Z</dcterms:modified>
</cp:coreProperties>
</file>