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УДК </w:t>
      </w:r>
      <w:r>
        <w:rPr>
          <w:rFonts w:ascii="Times New Roman" w:hAnsi="Times New Roman" w:cs="Times New Roman"/>
          <w:b/>
          <w:color w:val="auto"/>
          <w:sz w:val="24"/>
          <w:szCs w:val="24"/>
          <w:lang w:val="uk-UA"/>
        </w:rPr>
        <w:t>629.73</w:t>
      </w:r>
    </w:p>
    <w:p>
      <w:pPr>
        <w:spacing w:after="0" w:line="240" w:lineRule="auto"/>
        <w:ind w:firstLine="709"/>
        <w:rPr>
          <w:rFonts w:ascii="Times New Roman" w:hAnsi="Times New Roman" w:cs="Times New Roman"/>
          <w:b/>
          <w:sz w:val="24"/>
          <w:szCs w:val="24"/>
          <w:lang w:val="uk-UA"/>
        </w:rPr>
      </w:pPr>
    </w:p>
    <w:p>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ПІДВИЩЕННЯ БЕЗПЕКИ ГРУПИ НЕТЕХНІЧНОГО ОБСТЕЖЕННЯ НА НЕБЕЗПЕЧНІЙ ТЕРИТОРІЇ</w:t>
      </w:r>
    </w:p>
    <w:p>
      <w:pPr>
        <w:spacing w:after="0" w:line="240" w:lineRule="auto"/>
        <w:ind w:firstLine="709"/>
        <w:jc w:val="center"/>
        <w:rPr>
          <w:rFonts w:ascii="Times New Roman" w:hAnsi="Times New Roman" w:cs="Times New Roman"/>
          <w:b/>
          <w:sz w:val="24"/>
          <w:szCs w:val="24"/>
          <w:lang w:val="uk-UA"/>
        </w:rPr>
      </w:pPr>
    </w:p>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Матухно В.В., к.т.н., НУЦЗУ</w:t>
      </w:r>
    </w:p>
    <w:p>
      <w:pPr>
        <w:spacing w:after="0" w:line="240" w:lineRule="auto"/>
        <w:ind w:firstLine="709"/>
        <w:jc w:val="both"/>
        <w:rPr>
          <w:rFonts w:ascii="Times New Roman" w:hAnsi="Times New Roman" w:cs="Times New Roman"/>
          <w:sz w:val="24"/>
          <w:szCs w:val="24"/>
          <w:lang w:val="uk-UA"/>
        </w:rPr>
      </w:pPr>
    </w:p>
    <w:p>
      <w:pPr>
        <w:tabs>
          <w:tab w:val="left" w:pos="993"/>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початку повномасштабного військового вторгнення російської федерації на територію України, було забруднено вибухонебезпечними предметами (ВНП) близько </w:t>
      </w:r>
      <w:r>
        <w:rPr>
          <w:rFonts w:ascii="Times New Roman" w:hAnsi="Times New Roman" w:cs="Times New Roman"/>
          <w:bCs/>
          <w:sz w:val="24"/>
          <w:szCs w:val="24"/>
          <w:lang w:val="uk-UA"/>
        </w:rPr>
        <w:t>25 200 000</w:t>
      </w:r>
      <w:r>
        <w:rPr>
          <w:rFonts w:ascii="Times New Roman" w:hAnsi="Times New Roman" w:cs="Times New Roman"/>
          <w:sz w:val="24"/>
          <w:szCs w:val="24"/>
          <w:lang w:val="uk-UA"/>
        </w:rPr>
        <w:t xml:space="preserve"> га площі, це майже 1/3 території України, яка є підозріло небезпечною територією та потребує перевірки. Під час оперативного залучення піротехнічних груп та груп нетехнічного обстеження (НТО) на небезпечній території, серед особового складу піротехнічних підрозділів </w:t>
      </w:r>
      <w:r>
        <w:rPr>
          <w:rFonts w:ascii="Times New Roman" w:hAnsi="Times New Roman" w:cs="Times New Roman"/>
          <w:sz w:val="24"/>
          <w:szCs w:val="24"/>
          <w:lang w:val="en-US"/>
        </w:rPr>
        <w:t>трапилося</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uk-UA"/>
        </w:rPr>
        <w:t xml:space="preserve">13 </w:t>
      </w:r>
      <w:r>
        <w:rPr>
          <w:rFonts w:ascii="Times New Roman" w:hAnsi="Times New Roman" w:cs="Times New Roman"/>
          <w:sz w:val="24"/>
          <w:szCs w:val="24"/>
          <w:lang w:val="en-US"/>
        </w:rPr>
        <w:t>трагічних</w:t>
      </w:r>
      <w:r>
        <w:rPr>
          <w:rFonts w:hint="default" w:ascii="Times New Roman" w:hAnsi="Times New Roman" w:cs="Times New Roman"/>
          <w:sz w:val="24"/>
          <w:szCs w:val="24"/>
          <w:lang w:val="en-US"/>
        </w:rPr>
        <w:t xml:space="preserve"> наслідків</w:t>
      </w:r>
      <w:r>
        <w:rPr>
          <w:rFonts w:ascii="Times New Roman" w:hAnsi="Times New Roman" w:cs="Times New Roman"/>
          <w:sz w:val="24"/>
          <w:szCs w:val="24"/>
          <w:lang w:val="uk-UA"/>
        </w:rPr>
        <w:t xml:space="preserve"> та 64 працівника зазнали вибухових травм. Постає нагальне питання у підвищенні безпеки підчас НТО, оскільки під НТО підпадає майже 80 % всієї небезпечної території, яка підлягає обстеженню.  </w:t>
      </w:r>
    </w:p>
    <w:p>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Нетехнічне обстеження </w:t>
      </w:r>
      <w:r>
        <w:rPr>
          <w:rFonts w:ascii="Times New Roman" w:hAnsi="Times New Roman" w:cs="Times New Roman"/>
          <w:sz w:val="24"/>
          <w:szCs w:val="24"/>
          <w:lang w:val="en-US"/>
        </w:rPr>
        <w:t>небезпечних</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uk-UA"/>
        </w:rPr>
        <w:t>територій не слід проводити у відриві від послідуючих заходів у рамках процесу вивільнення земель від ВНП. Під час роботи групи НТО, ми будемо використовувати «комбінований» метод [1], який має відмінність від основного [2]. Відмінність від основного полягає у виконанні картографічного дослідження, яке передбачає виконання наступних процедур: збір прямих та непрямих доказів наявності вибухонебезпечних предметів, перевірка доказів, які були отримані в ході аналітичного дослідження, формування отриманих результатів нетехнічного обстеження імовірно забрудненої території в 3-D візуалізацію з визначенням точних географічних координат локальних та загальних зон небезпечної території.</w:t>
      </w:r>
    </w:p>
    <w:p>
      <w:pPr>
        <w:tabs>
          <w:tab w:val="left" w:pos="993"/>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Під час аналізу тестових польотів було виявлено недосконалість даного методу, яка полягає у використанні лише тепловізійної камери, яка орієнтована на роботу при сприятливих метеорологічних умовах (сонячність та температури більше 25 ℃). Вирішенням даної проблеми є використання підвісного феромагнитометру, який призначений для пошуку феромагнітних тіл, які знаходяться в ґрунті, снігу та у броді. Особливість феромагнітоментрів</w:t>
      </w:r>
      <w:r>
        <w:rPr>
          <w:rFonts w:hint="default" w:ascii="Times New Roman" w:hAnsi="Times New Roman" w:cs="Times New Roman"/>
          <w:sz w:val="24"/>
          <w:szCs w:val="24"/>
          <w:lang w:val="en-US"/>
        </w:rPr>
        <w:t xml:space="preserve"> в тому</w:t>
      </w:r>
      <w:r>
        <w:rPr>
          <w:rFonts w:ascii="Times New Roman" w:hAnsi="Times New Roman" w:cs="Times New Roman"/>
          <w:sz w:val="24"/>
          <w:szCs w:val="24"/>
          <w:lang w:val="uk-UA"/>
        </w:rPr>
        <w:t>, що вони реагують на полярність феромагнітних тіл (ті які мають змогу намагнічуватися). Використання приладів такого типу під час проведення обстеження дає можливість створювати карту в режимі реального часу з позначенням полярності об’єкту (рис. 1).</w:t>
      </w:r>
    </w:p>
    <w:p>
      <w:pPr>
        <w:tabs>
          <w:tab w:val="left" w:pos="993"/>
        </w:tabs>
        <w:spacing w:after="0" w:line="240" w:lineRule="auto"/>
        <w:ind w:firstLine="709"/>
        <w:jc w:val="both"/>
        <w:rPr>
          <w:rFonts w:ascii="Times New Roman" w:hAnsi="Times New Roman" w:cs="Times New Roman"/>
          <w:sz w:val="20"/>
          <w:szCs w:val="20"/>
          <w:lang w:val="uk-UA"/>
        </w:rPr>
      </w:pPr>
    </w:p>
    <w:p>
      <w:pPr>
        <w:tabs>
          <w:tab w:val="left" w:pos="993"/>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eastAsia="uk-UA"/>
        </w:rPr>
        <w:drawing>
          <wp:inline distT="0" distB="0" distL="114300" distR="114300">
            <wp:extent cx="4179570" cy="2045970"/>
            <wp:effectExtent l="0" t="0" r="11430" b="11430"/>
            <wp:docPr id="3"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6">
                      <a:extLst>
                        <a:ext uri="{28A0092B-C50C-407E-A947-70E740481C1C}">
                          <a14:useLocalDpi xmlns:a14="http://schemas.microsoft.com/office/drawing/2010/main" val="0"/>
                        </a:ext>
                      </a:extLst>
                    </a:blip>
                    <a:srcRect/>
                    <a:stretch>
                      <a:fillRect/>
                    </a:stretch>
                  </pic:blipFill>
                  <pic:spPr>
                    <a:xfrm>
                      <a:off x="0" y="0"/>
                      <a:ext cx="4184059" cy="2048446"/>
                    </a:xfrm>
                    <a:prstGeom prst="rect">
                      <a:avLst/>
                    </a:prstGeom>
                    <a:ln>
                      <a:noFill/>
                    </a:ln>
                    <a:effectLst>
                      <a:softEdge rad="112500"/>
                    </a:effectLst>
                  </pic:spPr>
                </pic:pic>
              </a:graphicData>
            </a:graphic>
          </wp:inline>
        </w:drawing>
      </w:r>
    </w:p>
    <w:p>
      <w:pPr>
        <w:spacing w:after="0" w:line="240" w:lineRule="auto"/>
        <w:ind w:firstLine="709"/>
        <w:jc w:val="both"/>
        <w:rPr>
          <w:rFonts w:ascii="Times New Roman" w:hAnsi="Times New Roman" w:cs="Times New Roman"/>
          <w:b/>
          <w:bCs/>
          <w:sz w:val="24"/>
          <w:szCs w:val="24"/>
          <w:lang w:val="uk-UA"/>
        </w:rPr>
      </w:pPr>
    </w:p>
    <w:p>
      <w:pPr>
        <w:spacing w:after="0" w:line="240" w:lineRule="auto"/>
        <w:ind w:firstLine="709"/>
        <w:jc w:val="both"/>
        <w:rPr>
          <w:rFonts w:ascii="Times New Roman" w:hAnsi="Times New Roman" w:eastAsia="Times New Roman" w:cs="Times New Roman"/>
          <w:b/>
          <w:sz w:val="24"/>
          <w:szCs w:val="24"/>
          <w:lang w:val="uk-UA" w:eastAsia="ru-RU"/>
        </w:rPr>
      </w:pPr>
      <w:r>
        <w:rPr>
          <w:rFonts w:ascii="Times New Roman" w:hAnsi="Times New Roman" w:eastAsia="Times New Roman" w:cs="Times New Roman"/>
          <w:b/>
          <w:sz w:val="24"/>
          <w:szCs w:val="24"/>
          <w:lang w:val="uk-UA" w:eastAsia="ru-RU"/>
        </w:rPr>
        <w:t>Рис. 1 – Принци роботи феромагнитометру</w:t>
      </w:r>
    </w:p>
    <w:p>
      <w:pPr>
        <w:spacing w:after="0" w:line="240" w:lineRule="auto"/>
        <w:ind w:firstLine="660" w:firstLineChars="275"/>
        <w:jc w:val="both"/>
        <w:rPr>
          <w:rFonts w:ascii="Times New Roman" w:hAnsi="Times New Roman" w:cs="Times New Roman"/>
          <w:sz w:val="24"/>
          <w:szCs w:val="24"/>
          <w:lang w:val="uk-UA"/>
        </w:rPr>
      </w:pPr>
      <w:r>
        <w:rPr>
          <w:rFonts w:ascii="Times New Roman" w:hAnsi="Times New Roman" w:eastAsia="SimSun" w:cs="Times New Roman"/>
          <w:sz w:val="24"/>
          <w:szCs w:val="24"/>
          <w:lang w:val="uk-UA" w:eastAsia="zh-CN" w:bidi="ar"/>
        </w:rPr>
        <w:t>Для вимірювання магнітних величин електричними методами їх необхідно спочатку перетворити в інші величини. Для цього застосовуються перетворювачі магнітних величин. Вимірювальне перетворення фізичної величини - вимірювальна операція, під час якої вхідна фізична величина перетворюється у вихідну, функціонально з нею пов’язан</w:t>
      </w:r>
      <w:r>
        <w:rPr>
          <w:rFonts w:ascii="Times New Roman" w:hAnsi="Times New Roman" w:eastAsia="SimSun" w:cs="Times New Roman"/>
          <w:sz w:val="24"/>
          <w:szCs w:val="24"/>
          <w:lang w:val="en-US" w:eastAsia="zh-CN" w:bidi="ar"/>
        </w:rPr>
        <w:t>ою</w:t>
      </w:r>
      <w:r>
        <w:rPr>
          <w:rFonts w:ascii="Times New Roman" w:hAnsi="Times New Roman" w:eastAsia="SimSun" w:cs="Times New Roman"/>
          <w:sz w:val="24"/>
          <w:szCs w:val="24"/>
          <w:lang w:val="uk-UA" w:eastAsia="zh-CN" w:bidi="ar"/>
        </w:rPr>
        <w:t>. Головна задача вимірювальних перетворень полягає в одержанні вихідних фізичних величин та залежностей між ними, зручних для порівняння і відтворення. До вимірювального перетворення фізичних величин у загальному випадку належать: лінійне (масштабне) та нелінійне перетворення фізичної величини без зміни її роду; лінійне та нелінійне перетворення фізичної величини зі зміною її роду. Під час проведення обстеження слід дотримуватися параметрів сканування, які повинні бути визначені завданням та відповідати вимогам. Рух котушки повинен бути паралельно землі та мати різницю у відстані між рядами не більше 0,5-1,5 м (рис. 2).</w:t>
      </w:r>
    </w:p>
    <w:p>
      <w:pPr>
        <w:tabs>
          <w:tab w:val="left" w:pos="993"/>
        </w:tabs>
        <w:spacing w:after="0" w:line="240" w:lineRule="auto"/>
        <w:ind w:firstLine="709"/>
        <w:jc w:val="both"/>
        <w:rPr>
          <w:rFonts w:ascii="Times New Roman" w:hAnsi="Times New Roman" w:cs="Times New Roman"/>
          <w:b/>
          <w:bCs/>
          <w:sz w:val="24"/>
          <w:szCs w:val="24"/>
          <w:lang w:val="uk-UA"/>
        </w:rPr>
      </w:pPr>
    </w:p>
    <w:p>
      <w:pPr>
        <w:keepLines/>
        <w:tabs>
          <w:tab w:val="left" w:pos="993"/>
        </w:tabs>
        <w:autoSpaceDE w:val="0"/>
        <w:autoSpaceDN w:val="0"/>
        <w:spacing w:after="0" w:line="240" w:lineRule="auto"/>
        <w:jc w:val="center"/>
        <w:rPr>
          <w:lang w:val="uk-UA"/>
        </w:rPr>
      </w:pPr>
      <w:r>
        <w:rPr>
          <w:lang w:val="uk-UA" w:eastAsia="uk-UA"/>
        </w:rPr>
        <w:drawing>
          <wp:inline distT="0" distB="0" distL="0" distR="0">
            <wp:extent cx="4261485" cy="3018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61758" cy="3018745"/>
                    </a:xfrm>
                    <a:prstGeom prst="rect">
                      <a:avLst/>
                    </a:prstGeom>
                    <a:noFill/>
                    <a:ln>
                      <a:noFill/>
                    </a:ln>
                  </pic:spPr>
                </pic:pic>
              </a:graphicData>
            </a:graphic>
          </wp:inline>
        </w:drawing>
      </w:r>
    </w:p>
    <w:p>
      <w:pPr>
        <w:keepLines/>
        <w:tabs>
          <w:tab w:val="left" w:pos="993"/>
        </w:tabs>
        <w:autoSpaceDE w:val="0"/>
        <w:autoSpaceDN w:val="0"/>
        <w:spacing w:after="0" w:line="240" w:lineRule="auto"/>
        <w:ind w:firstLine="709"/>
        <w:jc w:val="both"/>
        <w:rPr>
          <w:rFonts w:ascii="Times New Roman" w:hAnsi="Times New Roman" w:cs="Times New Roman"/>
          <w:sz w:val="24"/>
          <w:szCs w:val="24"/>
          <w:lang w:val="uk-UA"/>
        </w:rPr>
      </w:pPr>
    </w:p>
    <w:p>
      <w:pPr>
        <w:keepLines/>
        <w:tabs>
          <w:tab w:val="left" w:pos="993"/>
        </w:tabs>
        <w:autoSpaceDE w:val="0"/>
        <w:autoSpaceDN w:val="0"/>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Рис. 2 - Принцип сканування поверхні землі феромагнітометром</w:t>
      </w:r>
    </w:p>
    <w:p>
      <w:pPr>
        <w:spacing w:after="0" w:line="240" w:lineRule="auto"/>
        <w:ind w:firstLine="709"/>
        <w:jc w:val="both"/>
        <w:rPr>
          <w:rFonts w:ascii="Times New Roman" w:hAnsi="Times New Roman" w:cs="Times New Roman"/>
          <w:sz w:val="24"/>
          <w:szCs w:val="24"/>
          <w:lang w:val="uk-UA"/>
        </w:rPr>
      </w:pPr>
    </w:p>
    <w:p>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Особливості застосування «комбінованого» методу практичного дослідження при НТО в поєднанні з підвісним феромагнитометром дозволяє зменшити ризик травмування особового складу групи НТО за рахунок виключення попередніх із процесу перевірки </w:t>
      </w:r>
      <w:r>
        <w:rPr>
          <w:rFonts w:ascii="Times New Roman" w:hAnsi="Times New Roman" w:cs="Times New Roman"/>
          <w:sz w:val="24"/>
          <w:szCs w:val="24"/>
          <w:lang w:val="en-US"/>
        </w:rPr>
        <w:t>небезпечної</w:t>
      </w:r>
      <w:r>
        <w:rPr>
          <w:rFonts w:hint="default"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uk-UA"/>
        </w:rPr>
        <w:t xml:space="preserve">території на наявність зон небезпеки. </w:t>
      </w:r>
    </w:p>
    <w:p>
      <w:pPr>
        <w:spacing w:after="0" w:line="240" w:lineRule="auto"/>
        <w:ind w:firstLine="709"/>
        <w:jc w:val="both"/>
        <w:rPr>
          <w:rFonts w:ascii="Times New Roman" w:hAnsi="Times New Roman" w:eastAsia="Times New Roman" w:cs="Times New Roman"/>
          <w:b/>
          <w:sz w:val="24"/>
          <w:szCs w:val="24"/>
          <w:lang w:val="uk-UA" w:eastAsia="ru-RU"/>
        </w:rPr>
      </w:pPr>
    </w:p>
    <w:p>
      <w:pPr>
        <w:shd w:val="clear" w:color="auto" w:fill="FFFFFF"/>
        <w:spacing w:after="0" w:line="240" w:lineRule="auto"/>
        <w:ind w:firstLine="709"/>
        <w:jc w:val="center"/>
        <w:rPr>
          <w:rFonts w:ascii="Times New Roman" w:hAnsi="Times New Roman" w:eastAsia="Times New Roman" w:cs="Times New Roman"/>
          <w:b/>
          <w:sz w:val="24"/>
          <w:szCs w:val="24"/>
          <w:lang w:val="uk-UA" w:eastAsia="ru-RU"/>
        </w:rPr>
      </w:pPr>
      <w:r>
        <w:rPr>
          <w:rFonts w:ascii="Times New Roman" w:hAnsi="Times New Roman" w:eastAsia="Times New Roman" w:cs="Times New Roman"/>
          <w:b/>
          <w:sz w:val="24"/>
          <w:szCs w:val="24"/>
          <w:lang w:val="uk-UA" w:eastAsia="ru-RU"/>
        </w:rPr>
        <w:t>ЛІТЕРАТУРА</w:t>
      </w:r>
    </w:p>
    <w:p>
      <w:pPr>
        <w:pStyle w:val="14"/>
        <w:numPr>
          <w:ilvl w:val="0"/>
          <w:numId w:val="1"/>
        </w:numPr>
        <w:shd w:val="clear" w:color="auto" w:fill="FFFFFF"/>
        <w:tabs>
          <w:tab w:val="left" w:pos="1134"/>
        </w:tabs>
        <w:spacing w:after="0" w:line="240" w:lineRule="auto"/>
        <w:ind w:left="0" w:firstLine="660" w:firstLineChars="27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Матухно В.В. </w:t>
      </w:r>
      <w:r>
        <w:rPr>
          <w:rFonts w:ascii="Times New Roman" w:hAnsi="Times New Roman" w:cs="Times New Roman"/>
          <w:bCs/>
          <w:sz w:val="24"/>
          <w:szCs w:val="24"/>
          <w:lang w:val="uk-UA"/>
        </w:rPr>
        <w:t xml:space="preserve">Скорочення часу нетехнічного обстеження імовірно забрудненої території. </w:t>
      </w:r>
      <w:r>
        <w:rPr>
          <w:rFonts w:ascii="Times New Roman" w:hAnsi="Times New Roman" w:cs="Times New Roman"/>
          <w:sz w:val="24"/>
          <w:szCs w:val="24"/>
          <w:lang w:val="uk-UA"/>
        </w:rPr>
        <w:t>Матеріали круглого столу (вебінару) «Запобігання виникненню надзвичайних ситуацій, реагування та ліквідація їх наслідків». 23 лютого 2023. Харків, НУЦЗУ.</w:t>
      </w:r>
    </w:p>
    <w:p>
      <w:pPr>
        <w:pStyle w:val="14"/>
        <w:numPr>
          <w:ilvl w:val="0"/>
          <w:numId w:val="1"/>
        </w:numPr>
        <w:shd w:val="clear" w:color="auto" w:fill="FFFFFF"/>
        <w:tabs>
          <w:tab w:val="left" w:pos="1134"/>
        </w:tabs>
        <w:spacing w:after="0" w:line="240" w:lineRule="auto"/>
        <w:ind w:left="0" w:firstLine="660" w:firstLineChars="275"/>
        <w:jc w:val="both"/>
        <w:rPr>
          <w:rFonts w:ascii="Times New Roman" w:hAnsi="Times New Roman" w:cs="Times New Roman"/>
          <w:sz w:val="24"/>
          <w:szCs w:val="24"/>
          <w:lang w:val="uk-UA"/>
        </w:rPr>
      </w:pPr>
      <w:r>
        <w:rPr>
          <w:rFonts w:ascii="Times New Roman" w:hAnsi="Times New Roman" w:cs="Times New Roman"/>
          <w:sz w:val="24"/>
          <w:szCs w:val="24"/>
          <w:lang w:val="uk-UA"/>
        </w:rPr>
        <w:t>СОП 08.10/ДСНС. Порядок проведення органами та підрозділами цивільного захисту нетехнічного обстеження територій, імовірно забруднених вибухонебезпечними предметами. Затверджено наказом ДСНС України від 08.02.2017 року №81.</w:t>
      </w:r>
    </w:p>
    <w:sectPr>
      <w:pgSz w:w="11906" w:h="16838"/>
      <w:pgMar w:top="1417" w:right="1701" w:bottom="1417" w:left="1701" w:header="0" w:footer="85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方正书宋_GBK"/>
    <w:panose1 w:val="00000000000000000000"/>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00007A87" w:usb1="80000000" w:usb2="00000008" w:usb3="00000000" w:csb0="400001FF" w:csb1="FFFF0000"/>
  </w:font>
  <w:font w:name="黑体">
    <w:altName w:val="方正黑体_GBK"/>
    <w:panose1 w:val="02010600030101010101"/>
    <w:charset w:val="00"/>
    <w:family w:val="auto"/>
    <w:pitch w:val="default"/>
    <w:sig w:usb0="00000001" w:usb1="080E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方正书宋_GBK"/>
    <w:panose1 w:val="02010600030101010101"/>
    <w:charset w:val="86"/>
    <w:family w:val="auto"/>
    <w:pitch w:val="default"/>
    <w:sig w:usb0="00000000" w:usb1="00000000" w:usb2="00000016" w:usb3="00000000" w:csb0="00040001"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D9E6E"/>
    <w:multiLevelType w:val="singleLevel"/>
    <w:tmpl w:val="79FD9E6E"/>
    <w:lvl w:ilvl="0" w:tentative="0">
      <w:start w:val="1"/>
      <w:numFmt w:val="decimal"/>
      <w:suff w:val="space"/>
      <w:lvlText w:val="%1."/>
      <w:lvlJc w:val="left"/>
      <w:rPr>
        <w:rFonts w:hint="default"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250"/>
  <w:hyphenationZone w:val="425"/>
  <w:drawingGridHorizontalSpacing w:val="11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55BB4"/>
    <w:rsid w:val="000175C5"/>
    <w:rsid w:val="0002706A"/>
    <w:rsid w:val="000308BD"/>
    <w:rsid w:val="00043D10"/>
    <w:rsid w:val="00050C7E"/>
    <w:rsid w:val="000750BC"/>
    <w:rsid w:val="000B1C0A"/>
    <w:rsid w:val="000E61F5"/>
    <w:rsid w:val="000E67E6"/>
    <w:rsid w:val="00105238"/>
    <w:rsid w:val="0014128F"/>
    <w:rsid w:val="001751EA"/>
    <w:rsid w:val="001A6206"/>
    <w:rsid w:val="001B3808"/>
    <w:rsid w:val="001B7077"/>
    <w:rsid w:val="001E68D9"/>
    <w:rsid w:val="002030CF"/>
    <w:rsid w:val="0022781C"/>
    <w:rsid w:val="00234205"/>
    <w:rsid w:val="00274E10"/>
    <w:rsid w:val="002C1686"/>
    <w:rsid w:val="002E7AA4"/>
    <w:rsid w:val="0030034F"/>
    <w:rsid w:val="00305CEC"/>
    <w:rsid w:val="00334F8F"/>
    <w:rsid w:val="00341C9B"/>
    <w:rsid w:val="00351ACC"/>
    <w:rsid w:val="00360AE5"/>
    <w:rsid w:val="00381CFB"/>
    <w:rsid w:val="003B4D16"/>
    <w:rsid w:val="003E27CD"/>
    <w:rsid w:val="00443FFA"/>
    <w:rsid w:val="00471A5D"/>
    <w:rsid w:val="004A3458"/>
    <w:rsid w:val="004B43CA"/>
    <w:rsid w:val="004E4C10"/>
    <w:rsid w:val="00555BB4"/>
    <w:rsid w:val="00571C6A"/>
    <w:rsid w:val="005D49CE"/>
    <w:rsid w:val="005E4EC7"/>
    <w:rsid w:val="00601C24"/>
    <w:rsid w:val="0060563E"/>
    <w:rsid w:val="00606E76"/>
    <w:rsid w:val="00625E87"/>
    <w:rsid w:val="006822B1"/>
    <w:rsid w:val="00694D47"/>
    <w:rsid w:val="006A088C"/>
    <w:rsid w:val="006B2931"/>
    <w:rsid w:val="006B2A00"/>
    <w:rsid w:val="006C27FC"/>
    <w:rsid w:val="00745940"/>
    <w:rsid w:val="007672E8"/>
    <w:rsid w:val="007A09A2"/>
    <w:rsid w:val="007F205C"/>
    <w:rsid w:val="007F7AC9"/>
    <w:rsid w:val="00812C77"/>
    <w:rsid w:val="00814122"/>
    <w:rsid w:val="008152A6"/>
    <w:rsid w:val="0085586F"/>
    <w:rsid w:val="0086707E"/>
    <w:rsid w:val="0088397A"/>
    <w:rsid w:val="008B40F5"/>
    <w:rsid w:val="008E60DE"/>
    <w:rsid w:val="009503D0"/>
    <w:rsid w:val="00960193"/>
    <w:rsid w:val="0097511B"/>
    <w:rsid w:val="009E0898"/>
    <w:rsid w:val="009F3164"/>
    <w:rsid w:val="00A12F61"/>
    <w:rsid w:val="00A779C2"/>
    <w:rsid w:val="00A9007B"/>
    <w:rsid w:val="00BF7690"/>
    <w:rsid w:val="00C85773"/>
    <w:rsid w:val="00C93646"/>
    <w:rsid w:val="00D25ECC"/>
    <w:rsid w:val="00D40EBA"/>
    <w:rsid w:val="00D570A4"/>
    <w:rsid w:val="00D74AC6"/>
    <w:rsid w:val="00DB222D"/>
    <w:rsid w:val="00E037EE"/>
    <w:rsid w:val="00E444BE"/>
    <w:rsid w:val="00E85BA8"/>
    <w:rsid w:val="00EA1D63"/>
    <w:rsid w:val="00EB7A00"/>
    <w:rsid w:val="00F14DC2"/>
    <w:rsid w:val="00F900AF"/>
    <w:rsid w:val="00FC2913"/>
    <w:rsid w:val="00FF77AB"/>
    <w:rsid w:val="3FFDE73C"/>
    <w:rsid w:val="44FFA097"/>
    <w:rsid w:val="B3FD4E5C"/>
    <w:rsid w:val="BECE37E2"/>
    <w:rsid w:val="FEBD9493"/>
    <w:rsid w:val="FFF6992C"/>
    <w:rsid w:val="FFFD1E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footer"/>
    <w:basedOn w:val="1"/>
    <w:link w:val="10"/>
    <w:semiHidden/>
    <w:unhideWhenUsed/>
    <w:qFormat/>
    <w:uiPriority w:val="99"/>
    <w:pPr>
      <w:tabs>
        <w:tab w:val="center" w:pos="4677"/>
        <w:tab w:val="right" w:pos="9355"/>
      </w:tabs>
      <w:spacing w:after="0" w:line="240" w:lineRule="auto"/>
    </w:pPr>
  </w:style>
  <w:style w:type="paragraph" w:styleId="6">
    <w:name w:val="header"/>
    <w:basedOn w:val="1"/>
    <w:link w:val="9"/>
    <w:semiHidden/>
    <w:unhideWhenUsed/>
    <w:qFormat/>
    <w:uiPriority w:val="99"/>
    <w:pPr>
      <w:tabs>
        <w:tab w:val="center" w:pos="4677"/>
        <w:tab w:val="right" w:pos="9355"/>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Верхний колонтитул Знак"/>
    <w:basedOn w:val="2"/>
    <w:link w:val="6"/>
    <w:semiHidden/>
    <w:qFormat/>
    <w:uiPriority w:val="99"/>
  </w:style>
  <w:style w:type="character" w:customStyle="1" w:styleId="10">
    <w:name w:val="Нижний колонтитул Знак"/>
    <w:basedOn w:val="2"/>
    <w:link w:val="5"/>
    <w:semiHidden/>
    <w:qFormat/>
    <w:uiPriority w:val="99"/>
  </w:style>
  <w:style w:type="paragraph" w:customStyle="1" w:styleId="11">
    <w:name w:val="wp-caption-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Текст выноски Знак"/>
    <w:basedOn w:val="2"/>
    <w:link w:val="4"/>
    <w:semiHidden/>
    <w:qFormat/>
    <w:uiPriority w:val="99"/>
    <w:rPr>
      <w:rFonts w:ascii="Tahoma" w:hAnsi="Tahoma" w:cs="Tahoma"/>
      <w:sz w:val="16"/>
      <w:szCs w:val="16"/>
    </w:rPr>
  </w:style>
  <w:style w:type="character" w:customStyle="1" w:styleId="13">
    <w:name w:val="fontstyle01"/>
    <w:qFormat/>
    <w:uiPriority w:val="0"/>
    <w:rPr>
      <w:rFonts w:hint="default" w:ascii="TimesNewRomanPS-BoldMT" w:hAnsi="TimesNewRomanPS-BoldMT"/>
      <w:b/>
      <w:bCs/>
      <w:color w:val="000000"/>
      <w:sz w:val="36"/>
      <w:szCs w:val="36"/>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2556</Words>
  <Characters>1458</Characters>
  <Lines>12</Lines>
  <Paragraphs>8</Paragraphs>
  <TotalTime>3</TotalTime>
  <ScaleCrop>false</ScaleCrop>
  <LinksUpToDate>false</LinksUpToDate>
  <CharactersWithSpaces>4006</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2021-11-19T19:51:00Z</dcterms:created>
  <dc:creator>Матухно</dc:creator>
  <cp:lastModifiedBy>user</cp:lastModifiedBy>
  <dcterms:modified xsi:type="dcterms:W3CDTF">2023-02-21T19:53:41Z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1058-11.1.0.11664</vt:lpwstr>
  </property>
</Properties>
</file>