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00D" w:rsidRPr="0088600D" w:rsidRDefault="0088600D" w:rsidP="0088600D">
      <w:pPr>
        <w:shd w:val="clear" w:color="auto" w:fill="FFFFFF"/>
        <w:spacing w:after="60" w:line="240" w:lineRule="auto"/>
        <w:ind w:right="240"/>
        <w:jc w:val="both"/>
        <w:outlineLvl w:val="2"/>
        <w:rPr>
          <w:rFonts w:ascii="Times New Roman" w:eastAsia="Times New Roman" w:hAnsi="Times New Roman" w:cs="Times New Roman"/>
          <w:b/>
          <w:bCs/>
          <w:caps/>
          <w:color w:val="333333"/>
          <w:sz w:val="28"/>
          <w:szCs w:val="28"/>
          <w:lang w:val="en-US" w:eastAsia="ru-RU"/>
        </w:rPr>
      </w:pPr>
      <w:r w:rsidRPr="0088600D">
        <w:rPr>
          <w:rFonts w:ascii="Times New Roman" w:eastAsia="Times New Roman" w:hAnsi="Times New Roman" w:cs="Times New Roman"/>
          <w:b/>
          <w:bCs/>
          <w:caps/>
          <w:color w:val="333333"/>
          <w:sz w:val="28"/>
          <w:szCs w:val="28"/>
          <w:lang w:val="en-US" w:eastAsia="ru-RU"/>
        </w:rPr>
        <w:t>CONCEPTUAL UNDERSTANDING OF THE PRINCIPLE OF GOOD CONSCIENCE AS A LEGAL CONCEPT AND GENERAL PRINCIPLE OF LAW</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i/>
          <w:iCs/>
          <w:color w:val="333333"/>
          <w:sz w:val="28"/>
          <w:szCs w:val="28"/>
          <w:lang w:val="en-US" w:eastAsia="ru-RU"/>
        </w:rPr>
        <w:t>Oleksii Shumilo, Vadym Babakin, Hanna Kovalenko, Dmytro Yasynok, Vitalii Boiko</w:t>
      </w:r>
    </w:p>
    <w:p w:rsidR="0088600D" w:rsidRPr="0088600D" w:rsidRDefault="0088600D" w:rsidP="0088600D">
      <w:pPr>
        <w:spacing w:after="0" w:line="240" w:lineRule="auto"/>
        <w:jc w:val="both"/>
        <w:rPr>
          <w:rFonts w:ascii="Times New Roman" w:eastAsia="Times New Roman" w:hAnsi="Times New Roman" w:cs="Times New Roman"/>
          <w:sz w:val="28"/>
          <w:szCs w:val="28"/>
          <w:lang w:val="en-US" w:eastAsia="ru-RU"/>
        </w:rPr>
      </w:pPr>
    </w:p>
    <w:p w:rsidR="0088600D" w:rsidRPr="0088600D" w:rsidRDefault="0088600D" w:rsidP="0088600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88600D">
        <w:rPr>
          <w:rFonts w:ascii="Times New Roman" w:eastAsia="Times New Roman" w:hAnsi="Times New Roman" w:cs="Times New Roman"/>
          <w:b/>
          <w:bCs/>
          <w:caps/>
          <w:color w:val="333333"/>
          <w:sz w:val="28"/>
          <w:szCs w:val="28"/>
          <w:lang w:val="en-US" w:eastAsia="ru-RU"/>
        </w:rPr>
        <w:t>Resumo</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b/>
          <w:bCs/>
          <w:color w:val="333333"/>
          <w:sz w:val="28"/>
          <w:szCs w:val="28"/>
          <w:lang w:val="en-US" w:eastAsia="ru-RU"/>
        </w:rPr>
        <w:t>Objective:</w:t>
      </w:r>
      <w:r w:rsidRPr="0088600D">
        <w:rPr>
          <w:rFonts w:ascii="Times New Roman" w:eastAsia="Times New Roman" w:hAnsi="Times New Roman" w:cs="Times New Roman"/>
          <w:color w:val="333333"/>
          <w:sz w:val="28"/>
          <w:szCs w:val="28"/>
          <w:lang w:val="en-US" w:eastAsia="ru-RU"/>
        </w:rPr>
        <w:t> The article provides a comprehensive analysis of theoretical and legislative approaches to understanding the essence of the principle of good faith in civil law. It critically examines how the principle of good faith, along with the presumption of good faith, is codified in civil legislation without a clear definition of its meaning. The discussion highlights that good faith, as a legal category, remains inadequately defined and lacks consistent interpretation in both scientific literature and judicial practice.</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b/>
          <w:bCs/>
          <w:color w:val="333333"/>
          <w:sz w:val="28"/>
          <w:szCs w:val="28"/>
          <w:lang w:val="en-US" w:eastAsia="ru-RU"/>
        </w:rPr>
        <w:t>Method:</w:t>
      </w:r>
      <w:r w:rsidRPr="0088600D">
        <w:rPr>
          <w:rFonts w:ascii="Times New Roman" w:eastAsia="Times New Roman" w:hAnsi="Times New Roman" w:cs="Times New Roman"/>
          <w:color w:val="333333"/>
          <w:sz w:val="28"/>
          <w:szCs w:val="28"/>
          <w:lang w:val="en-US" w:eastAsia="ru-RU"/>
        </w:rPr>
        <w:t> The research involves a detailed examination of scientific literature, Supreme Court practices, and civil law provisions. The study distinguishes between the principles of justice, good faith, and reasonableness, emphasizing that these are separate yet interdependent principles supporting civil law and its legislative structure. The analysis explores good faith as an evaluative concept, requiring consideration of both objective and subjective perspectives.</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b/>
          <w:bCs/>
          <w:color w:val="333333"/>
          <w:sz w:val="28"/>
          <w:szCs w:val="28"/>
          <w:lang w:val="en-US" w:eastAsia="ru-RU"/>
        </w:rPr>
        <w:t>Results:</w:t>
      </w:r>
      <w:r w:rsidRPr="0088600D">
        <w:rPr>
          <w:rFonts w:ascii="Times New Roman" w:eastAsia="Times New Roman" w:hAnsi="Times New Roman" w:cs="Times New Roman"/>
          <w:color w:val="333333"/>
          <w:sz w:val="28"/>
          <w:szCs w:val="28"/>
          <w:lang w:val="en-US" w:eastAsia="ru-RU"/>
        </w:rPr>
        <w:t> The principle of good faith is positively evaluated for its role in ensuring stability and social orientation of legislation. The article highlights the importance of good faith in promoting trust and predictability in legal transactions. It is noted that the objective understanding of good faith involves aligning behavior with generally accepted standards established by law or derived from judicial practice, while the subjective perspective reflects an individual's internal conviction that their behavior is legitimate and does not infringe on others' rights and interests.</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b/>
          <w:bCs/>
          <w:color w:val="333333"/>
          <w:sz w:val="28"/>
          <w:szCs w:val="28"/>
          <w:lang w:val="en-US" w:eastAsia="ru-RU"/>
        </w:rPr>
        <w:t>Conclusions:</w:t>
      </w:r>
      <w:r w:rsidRPr="0088600D">
        <w:rPr>
          <w:rFonts w:ascii="Times New Roman" w:eastAsia="Times New Roman" w:hAnsi="Times New Roman" w:cs="Times New Roman"/>
          <w:color w:val="333333"/>
          <w:sz w:val="28"/>
          <w:szCs w:val="28"/>
          <w:lang w:val="en-US" w:eastAsia="ru-RU"/>
        </w:rPr>
        <w:t> The article advocates for legislative clarifications on "good faith" and "good faith behavior," proposing at least an approximate composition of these categories to facilitate clearer understanding and application. Furthermore, it emphasizes the judiciary's role in interpreting and expanding the application of the principle of good faith. The article concludes that a well-defined principle of good faith is essential for the coherent and equitable regulation of civil legal relations. By providing legislative clarity and supporting judicial interpretation, the principle of good faith can significantly enhance the fairness and reliability of civil law.</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88600D" w:rsidRPr="0088600D" w:rsidRDefault="0088600D" w:rsidP="0088600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88600D">
        <w:rPr>
          <w:rFonts w:ascii="Times New Roman" w:eastAsia="Times New Roman" w:hAnsi="Times New Roman" w:cs="Times New Roman"/>
          <w:b/>
          <w:bCs/>
          <w:caps/>
          <w:color w:val="333333"/>
          <w:sz w:val="28"/>
          <w:szCs w:val="28"/>
          <w:lang w:val="en-US" w:eastAsia="ru-RU"/>
        </w:rPr>
        <w:t>Palavras-chave</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Law, Principle, Good Faith, Civil Law, Civil Legislation, Civil-Law Relations.</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88600D" w:rsidRPr="0088600D" w:rsidRDefault="0088600D" w:rsidP="0088600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88600D">
        <w:rPr>
          <w:rFonts w:ascii="Times New Roman" w:eastAsia="Times New Roman" w:hAnsi="Times New Roman" w:cs="Times New Roman"/>
          <w:b/>
          <w:bCs/>
          <w:caps/>
          <w:color w:val="333333"/>
          <w:sz w:val="28"/>
          <w:szCs w:val="28"/>
          <w:lang w:val="en-US" w:eastAsia="ru-RU"/>
        </w:rPr>
        <w:t>Texto completo:</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eastAsia="ru-RU"/>
        </w:rPr>
        <w:fldChar w:fldCharType="begin"/>
      </w:r>
      <w:r w:rsidRPr="0088600D">
        <w:rPr>
          <w:rFonts w:ascii="Times New Roman" w:eastAsia="Times New Roman" w:hAnsi="Times New Roman" w:cs="Times New Roman"/>
          <w:color w:val="333333"/>
          <w:sz w:val="28"/>
          <w:szCs w:val="28"/>
          <w:lang w:val="en-US" w:eastAsia="ru-RU"/>
        </w:rPr>
        <w:instrText xml:space="preserve"> HYPERLINK "https://revista.unicuritiba.edu.br/index.php/RIMA/article/view/6690/371374868" \t "_parent" </w:instrText>
      </w:r>
      <w:r w:rsidRPr="0088600D">
        <w:rPr>
          <w:rFonts w:ascii="Times New Roman" w:eastAsia="Times New Roman" w:hAnsi="Times New Roman" w:cs="Times New Roman"/>
          <w:color w:val="333333"/>
          <w:sz w:val="28"/>
          <w:szCs w:val="28"/>
          <w:lang w:eastAsia="ru-RU"/>
        </w:rPr>
        <w:fldChar w:fldCharType="separate"/>
      </w:r>
      <w:r w:rsidRPr="0088600D">
        <w:rPr>
          <w:rFonts w:ascii="Times New Roman" w:eastAsia="Times New Roman" w:hAnsi="Times New Roman" w:cs="Times New Roman"/>
          <w:caps/>
          <w:color w:val="000000"/>
          <w:sz w:val="28"/>
          <w:szCs w:val="28"/>
          <w:u w:val="single"/>
          <w:lang w:val="en-US" w:eastAsia="ru-RU"/>
        </w:rPr>
        <w:t>PDF (English)</w:t>
      </w:r>
      <w:r w:rsidRPr="0088600D">
        <w:rPr>
          <w:rFonts w:ascii="Times New Roman" w:eastAsia="Times New Roman" w:hAnsi="Times New Roman" w:cs="Times New Roman"/>
          <w:color w:val="333333"/>
          <w:sz w:val="28"/>
          <w:szCs w:val="28"/>
          <w:lang w:eastAsia="ru-RU"/>
        </w:rPr>
        <w:fldChar w:fldCharType="end"/>
      </w:r>
    </w:p>
    <w:p w:rsidR="0088600D" w:rsidRPr="0088600D" w:rsidRDefault="0088600D" w:rsidP="0088600D">
      <w:pPr>
        <w:shd w:val="clear" w:color="auto" w:fill="FFFFFF"/>
        <w:spacing w:before="180" w:after="60" w:line="240" w:lineRule="auto"/>
        <w:ind w:right="240"/>
        <w:jc w:val="both"/>
        <w:outlineLvl w:val="3"/>
        <w:rPr>
          <w:rFonts w:ascii="Times New Roman" w:eastAsia="Times New Roman" w:hAnsi="Times New Roman" w:cs="Times New Roman"/>
          <w:b/>
          <w:bCs/>
          <w:caps/>
          <w:color w:val="333333"/>
          <w:sz w:val="28"/>
          <w:szCs w:val="28"/>
          <w:lang w:val="en-US" w:eastAsia="ru-RU"/>
        </w:rPr>
      </w:pPr>
      <w:r w:rsidRPr="0088600D">
        <w:rPr>
          <w:rFonts w:ascii="Times New Roman" w:eastAsia="Times New Roman" w:hAnsi="Times New Roman" w:cs="Times New Roman"/>
          <w:b/>
          <w:bCs/>
          <w:caps/>
          <w:color w:val="333333"/>
          <w:sz w:val="28"/>
          <w:szCs w:val="28"/>
          <w:lang w:val="en-US" w:eastAsia="ru-RU"/>
        </w:rPr>
        <w:t>Referências</w:t>
      </w:r>
    </w:p>
    <w:p w:rsidR="0088600D" w:rsidRPr="0088600D" w:rsidRDefault="0088600D" w:rsidP="0088600D">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Rotan, V. G. (Ed.). (2010). Scientific and practical commentary on the civil legislation of Ukraine: In 2 volumes. (Vol. 1). Kharkiv: Factor.</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The Civil Code of Ukraine. (2023). As amended from 01.01.2023 No. 435-IV. Retrieved August 15, 2023, from http://zakon2.rada.gov.ua/laws/show/435-15</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Digests of Justinian. (n.d.). Volume 1: Book 1-4. Retrieved August 15, 2023, from http://www.gumer.info/bibliotek_Buks/Pravo/digest/01.php</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Pastushok, G.I. (2016). The importance of the fundamental values of Roman law for the formation of the legal tradition of the European Union. Bulletin of the Southern Regional Center of the National Academy of Legal Sciences of Ukraine, (8), 32–38.</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Spasibo-Fateeva, I.V. (Ed.). (2021). Good faith: Doctrine &amp; judicial practice. Kharkiv: EKUS.</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Supreme Court. (2019, April 17). Resolution in case No. 761/41709/17. Retrieved August 15, 2023, from https://ips.ligazakon.net/document/C009312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Halkevich, S.V. (2021). Principles of justice, good faith, reasonableness of tort liability in civil law (Doctoral dissertation). Khmelnytskyi.</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Borisova, V.I. (2018). Basic principles of civil law of Ukraine. Problems of civil law and process, 12–15.</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The concept of updating the Civil Code of Ukraine. (2020). Kyiv: ArtEk Publishing House. Retrieved August 15, 2023, from https://pravo.ua/wp-content/uploads/2021/01/Proekt-Koncepcii-onovlennja-Civilnogo-kodeksu-Ukraini.pdf</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Iasechko, S. (2023). Peculiarities of the regulation of personal non-property rights when concluding sports contracts. SPORT TK-Revista EuroAmericana de Ciencias del Deporte, 12, 30. https://doi.org/10.6018/sportk.575941</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Iasechko, S. (2023). Characteristics of committing transactions with information. Journal of Law and Political Sciences (JLPS) Vol. (38), issue 3- 2023 p. 369-385</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de-DE" w:eastAsia="ru-RU"/>
        </w:rPr>
        <w:t xml:space="preserve">Iasechko, S., Zaitsev, O., Pokusa, F., Saienko, V., &amp; Harashchuk, I. (2022). </w:t>
      </w:r>
      <w:r w:rsidRPr="0088600D">
        <w:rPr>
          <w:rFonts w:ascii="Times New Roman" w:eastAsia="Times New Roman" w:hAnsi="Times New Roman" w:cs="Times New Roman"/>
          <w:color w:val="333333"/>
          <w:sz w:val="28"/>
          <w:szCs w:val="28"/>
          <w:lang w:val="en-US" w:eastAsia="ru-RU"/>
        </w:rPr>
        <w:t>Legal regulation of intellectual property in sports. SPORT TK-Revista EuroAmericana de Ciencias del Deporte, 11, 45. https://doi.org/10.6018/sportk.526631</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lastRenderedPageBreak/>
        <w:t>Iasechko S., Zaitsev O., Kozhevnykova V., Melnyk K., Kulchii O. (2020). “Transactions with the Personal Non-Property Right“. SRP11(10): 49-52. https://doi.org/10.14505//jarle.v11.4(50).12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Kronivets, T., Yakovenko, O., Tymoshenko, Y., Ilnytskyi, M., Iasechko, S., &amp; Iasechko, M. (2023). The legal foundations for the utilisation of artificial intelligence in educational processes. International Relations in the Current World, 4(42), 686-702. https://doi.org/10.21902/Revrima.v4i42.6556</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Iasechko, S. (2021). Transforming society: the role and future of artificial intelligence. Review of Artificial Intelligence in Education, 2, e27. https://doi.org/10.37497/rev.artif.intell.educ.v2i00.27</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Explanatory dictionary of the Ukr</w:t>
      </w:r>
      <w:bookmarkStart w:id="0" w:name="_GoBack"/>
      <w:bookmarkEnd w:id="0"/>
      <w:r w:rsidRPr="0088600D">
        <w:rPr>
          <w:rFonts w:ascii="Times New Roman" w:eastAsia="Times New Roman" w:hAnsi="Times New Roman" w:cs="Times New Roman"/>
          <w:color w:val="333333"/>
          <w:sz w:val="28"/>
          <w:szCs w:val="28"/>
          <w:lang w:val="en-US" w:eastAsia="ru-RU"/>
        </w:rPr>
        <w:t>ainian language. (n.d.). Retrieved August 15, 2023, from https://1550.slovaronline.com</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Kuznetsova, N.S. (2003). Principles of modern obligation law of Ukraine. Ukrainian commercial law, (4), 9–17.</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Primak, V.D. (2008). Guilt and good faith in civil law. Kyiv: Yurinkom Inter.</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Primak, V. (2012). The principle of good faith in the context of ensuring the rule of law in civil liability relations. Legal Ukraine, (8), 68–77.</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Kot, O.O. (2017). Implementation and protection of subjective civil rights. Kyiv: Alerta.</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Tobota, Yu.A. (2011). The principle of justice, good faith and reasonableness in civil law. (Autoref. thesis). Kharkiv.</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Supreme Court. (2019, May 29). Resolution in case No. 914/692/18. Retrieved August 15, 2023, from https://protocol.ua/ru/postanova_kgs_vp_vid_29_05_2019_roku_u_spravi_914_692_18/</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Bodnar, T. (2005). Good faith, reasonableness and justice as principles of performance of the contractual obligation. Legal Ukraine, (3), 39-44.</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Pavlenko, D. (2006). The principle of good faith in Roman private law and the mandatory law of Ukraine: a comparative analysis. Entrepreneurship, economy and law, (8), 129-132.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Limongi, R. (2024). The use of artificial intelligence in scientific research with integrity and ethics. Review of Artificial Intelligence in Education, 5(00), e22. https://doi.org/10.37497/rev.artif.intell.educ.v5i00.22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lastRenderedPageBreak/>
        <w:t>Supreme Court. (2019, January 16). Resolution in case No. 521/17654/15-ts. Retrieved August 15, 2023, from https://zakononline.com.ua/court-decisions/show/81020254</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Supreme Court. (2022, December 14). Resolution in case 126/2200/20. Retrieved August 15, 2023, from https://reyestr.court.gov.ua/Review/107984722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Kondratyev, R.I. (2007). Discussion issues regarding the system of general principles for the exercise of subjective civil rights. University Scientific Notes, (2)(22), 127-133.</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Maidanyk, R. A. (2002). Problems of trust relations in civil law. Kyiv: VOC "Kyiv. Univ.</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de-DE" w:eastAsia="ru-RU"/>
        </w:rPr>
      </w:pPr>
      <w:r w:rsidRPr="0088600D">
        <w:rPr>
          <w:rFonts w:ascii="Times New Roman" w:eastAsia="Times New Roman" w:hAnsi="Times New Roman" w:cs="Times New Roman"/>
          <w:color w:val="333333"/>
          <w:sz w:val="28"/>
          <w:szCs w:val="28"/>
          <w:lang w:val="en-US" w:eastAsia="ru-RU"/>
        </w:rPr>
        <w:t xml:space="preserve">Berveno, S.M. (2006). Problems of contract law of Ukraine. </w:t>
      </w:r>
      <w:r w:rsidRPr="0088600D">
        <w:rPr>
          <w:rFonts w:ascii="Times New Roman" w:eastAsia="Times New Roman" w:hAnsi="Times New Roman" w:cs="Times New Roman"/>
          <w:color w:val="333333"/>
          <w:sz w:val="28"/>
          <w:szCs w:val="28"/>
          <w:lang w:val="de-DE" w:eastAsia="ru-RU"/>
        </w:rPr>
        <w:t>Kyiv: Yurinkom Inter.</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de-DE" w:eastAsia="ru-RU"/>
        </w:rPr>
        <w:t xml:space="preserve">Kuznetsova, N.S. (2014). </w:t>
      </w:r>
      <w:r w:rsidRPr="0088600D">
        <w:rPr>
          <w:rFonts w:ascii="Times New Roman" w:eastAsia="Times New Roman" w:hAnsi="Times New Roman" w:cs="Times New Roman"/>
          <w:color w:val="333333"/>
          <w:sz w:val="28"/>
          <w:szCs w:val="28"/>
          <w:lang w:val="en-US" w:eastAsia="ru-RU"/>
        </w:rPr>
        <w:t>Modern civil legislation of Ukraine: achievements, problems, prospects. Bulletin of the Southern Regional Center of the National Academy of Legal Sciences of Ukraine, (1), 51-57.</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Babych, I.G. (2005). The place of the principle of good faith in the system of modern obligation law of Ukraine. Actual problems of the state and law: coll. of science pr., (24), 327–331.</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Bakalinska, O.O. (2011). The category of "good faith" in the civil law of Ukraine. Kyiv University of Law, (4), 200-203.</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Pavlenko, D.G. (2008). The principle of good faith in contractual obligations. Kyiv.</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Pereira , L. de M.; Gewehr , M. A.; Alves , M. F. (2020) Enhancing Organizational Compliance Programs: The Impact of Data Protection Implementation under the Personal Data Protection Law. ESG Law Review, São Paulo (SP), v. 3, n. ssue, p. e01612, 2020. DOI: 10.37497/esg.v3issue.1612. Disponível em: https://esglawreview.org/convergencias/article/view/1612.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Stefanchuk, M. O. (2015). Good faith as a sign of lawful behavior of an individual in civil law. Scientific Bulletin of Kherson State University. Series: Legal Sciences, (5)(1), 140-142.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Draft Common Frame of Reference (DCFR). (n.d.). Retrieved August 15, 2023, from https://sakig.pl/wp-content/uploads/2019/01/dfcr.pdf</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Supreme Court. (2019, April 10). Resolution in case No. 390/34/17. Retrieved August 15, 2023, from https://reyestr.court.gov.ua/Review/81263995</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Supreme Court. (2020, November 7). Resolution of the panel of judges of the Second Judicial Chamber of the Civil Court of Cassation in case No. 450/2286/16-ts. Retrieved August 15, 2023, from https://reyestr.court.gov.ua/Review/92173296</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lastRenderedPageBreak/>
        <w:t>International Construction Law Review. (n.d.). Retrieved August 15, 2023, from https://ilaw.com/ilaw/doc/view.htm?id=360826</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Picod, Y., Terré, F., Simler, R., &amp; Laquette, Y. (1996). The obligation of cooperation in the execution of the contract. JCP, 1988, I, 3318; Droit Civil — Les obligations (6th ed.). Paris.</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Sobreira Filho, E. F.; Leite, F. P. A.; Martins, J. A. M. (2022). Corporate Ethics as a Pillar for Strengthening Compliance Programs: A Brief Analysis of the Interplay between Ethics, Integrity, and Compliance. ESG Law Review, São Paulo (SP), v. 5, n. ssue, p. e01592, 2022. DOI: 10.37497/esg.v5issue.1593. Disponível em: https://esglawreview.org/convergencias/article/view/1593</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Prokhorova , Y. (2022). Impact of covid-19 and war on poverty: a ukrainian and european perspective. Review of Sdgs in Emerging Countries, 4(00), e37. https://doi.org/10.37497/2965-7393.SDGs-Countries.v4.n00.37</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val="en-US" w:eastAsia="ru-RU"/>
        </w:rPr>
      </w:pPr>
      <w:r w:rsidRPr="0088600D">
        <w:rPr>
          <w:rFonts w:ascii="Times New Roman" w:eastAsia="Times New Roman" w:hAnsi="Times New Roman" w:cs="Times New Roman"/>
          <w:color w:val="333333"/>
          <w:sz w:val="28"/>
          <w:szCs w:val="28"/>
          <w:lang w:val="en-US" w:eastAsia="ru-RU"/>
        </w:rPr>
        <w:t>Chitty on Contracts. (31st ed.). (n.d.). Volume 1 General Principles, para. 1-039, p. 32.</w:t>
      </w:r>
    </w:p>
    <w:p w:rsidR="0088600D" w:rsidRPr="0088600D" w:rsidRDefault="0088600D" w:rsidP="0088600D">
      <w:pPr>
        <w:shd w:val="clear" w:color="auto" w:fill="FFFFFF"/>
        <w:spacing w:before="240" w:after="240" w:line="240" w:lineRule="auto"/>
        <w:jc w:val="both"/>
        <w:rPr>
          <w:rFonts w:ascii="Times New Roman" w:eastAsia="Times New Roman" w:hAnsi="Times New Roman" w:cs="Times New Roman"/>
          <w:color w:val="333333"/>
          <w:sz w:val="28"/>
          <w:szCs w:val="28"/>
          <w:lang w:eastAsia="ru-RU"/>
        </w:rPr>
      </w:pPr>
      <w:r w:rsidRPr="0088600D">
        <w:rPr>
          <w:rFonts w:ascii="Times New Roman" w:eastAsia="Times New Roman" w:hAnsi="Times New Roman" w:cs="Times New Roman"/>
          <w:color w:val="333333"/>
          <w:sz w:val="28"/>
          <w:szCs w:val="28"/>
          <w:lang w:val="en-US" w:eastAsia="ru-RU"/>
        </w:rPr>
        <w:t xml:space="preserve">Towards an Implied Duty of Good Faith Under English Law. </w:t>
      </w:r>
      <w:r w:rsidRPr="0088600D">
        <w:rPr>
          <w:rFonts w:ascii="Times New Roman" w:eastAsia="Times New Roman" w:hAnsi="Times New Roman" w:cs="Times New Roman"/>
          <w:color w:val="333333"/>
          <w:sz w:val="28"/>
          <w:szCs w:val="28"/>
          <w:lang w:eastAsia="ru-RU"/>
        </w:rPr>
        <w:t>(</w:t>
      </w:r>
      <w:proofErr w:type="spellStart"/>
      <w:r w:rsidRPr="0088600D">
        <w:rPr>
          <w:rFonts w:ascii="Times New Roman" w:eastAsia="Times New Roman" w:hAnsi="Times New Roman" w:cs="Times New Roman"/>
          <w:color w:val="333333"/>
          <w:sz w:val="28"/>
          <w:szCs w:val="28"/>
          <w:lang w:eastAsia="ru-RU"/>
        </w:rPr>
        <w:t>n.d</w:t>
      </w:r>
      <w:proofErr w:type="spellEnd"/>
      <w:r w:rsidRPr="0088600D">
        <w:rPr>
          <w:rFonts w:ascii="Times New Roman" w:eastAsia="Times New Roman" w:hAnsi="Times New Roman" w:cs="Times New Roman"/>
          <w:color w:val="333333"/>
          <w:sz w:val="28"/>
          <w:szCs w:val="28"/>
          <w:lang w:eastAsia="ru-RU"/>
        </w:rPr>
        <w:t xml:space="preserve">.). </w:t>
      </w:r>
      <w:proofErr w:type="spellStart"/>
      <w:r w:rsidRPr="0088600D">
        <w:rPr>
          <w:rFonts w:ascii="Times New Roman" w:eastAsia="Times New Roman" w:hAnsi="Times New Roman" w:cs="Times New Roman"/>
          <w:color w:val="333333"/>
          <w:sz w:val="28"/>
          <w:szCs w:val="28"/>
          <w:lang w:eastAsia="ru-RU"/>
        </w:rPr>
        <w:t>Jones</w:t>
      </w:r>
      <w:proofErr w:type="spellEnd"/>
      <w:r w:rsidRPr="0088600D">
        <w:rPr>
          <w:rFonts w:ascii="Times New Roman" w:eastAsia="Times New Roman" w:hAnsi="Times New Roman" w:cs="Times New Roman"/>
          <w:color w:val="333333"/>
          <w:sz w:val="28"/>
          <w:szCs w:val="28"/>
          <w:lang w:eastAsia="ru-RU"/>
        </w:rPr>
        <w:t xml:space="preserve"> </w:t>
      </w:r>
      <w:proofErr w:type="spellStart"/>
      <w:r w:rsidRPr="0088600D">
        <w:rPr>
          <w:rFonts w:ascii="Times New Roman" w:eastAsia="Times New Roman" w:hAnsi="Times New Roman" w:cs="Times New Roman"/>
          <w:color w:val="333333"/>
          <w:sz w:val="28"/>
          <w:szCs w:val="28"/>
          <w:lang w:eastAsia="ru-RU"/>
        </w:rPr>
        <w:t>Day</w:t>
      </w:r>
      <w:proofErr w:type="spellEnd"/>
      <w:r w:rsidRPr="0088600D">
        <w:rPr>
          <w:rFonts w:ascii="Times New Roman" w:eastAsia="Times New Roman" w:hAnsi="Times New Roman" w:cs="Times New Roman"/>
          <w:color w:val="333333"/>
          <w:sz w:val="28"/>
          <w:szCs w:val="28"/>
          <w:lang w:eastAsia="ru-RU"/>
        </w:rPr>
        <w:t xml:space="preserve"> </w:t>
      </w:r>
      <w:proofErr w:type="spellStart"/>
      <w:r w:rsidRPr="0088600D">
        <w:rPr>
          <w:rFonts w:ascii="Times New Roman" w:eastAsia="Times New Roman" w:hAnsi="Times New Roman" w:cs="Times New Roman"/>
          <w:color w:val="333333"/>
          <w:sz w:val="28"/>
          <w:szCs w:val="28"/>
          <w:lang w:eastAsia="ru-RU"/>
        </w:rPr>
        <w:t>Com</w:t>
      </w:r>
      <w:proofErr w:type="spellEnd"/>
    </w:p>
    <w:p w:rsidR="00E875D5" w:rsidRPr="0088600D" w:rsidRDefault="00E875D5" w:rsidP="0088600D">
      <w:pPr>
        <w:jc w:val="both"/>
        <w:rPr>
          <w:rFonts w:ascii="Times New Roman" w:hAnsi="Times New Roman" w:cs="Times New Roman"/>
          <w:sz w:val="28"/>
          <w:szCs w:val="28"/>
        </w:rPr>
      </w:pPr>
    </w:p>
    <w:sectPr w:rsidR="00E875D5" w:rsidRPr="00886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0D"/>
    <w:rsid w:val="006160ED"/>
    <w:rsid w:val="0088600D"/>
    <w:rsid w:val="009A0FF0"/>
    <w:rsid w:val="00E8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0CBC1-B9D4-4DD9-8B02-209F7757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860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860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60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8600D"/>
    <w:rPr>
      <w:rFonts w:ascii="Times New Roman" w:eastAsia="Times New Roman" w:hAnsi="Times New Roman" w:cs="Times New Roman"/>
      <w:b/>
      <w:bCs/>
      <w:sz w:val="24"/>
      <w:szCs w:val="24"/>
      <w:lang w:eastAsia="ru-RU"/>
    </w:rPr>
  </w:style>
  <w:style w:type="character" w:styleId="a3">
    <w:name w:val="Emphasis"/>
    <w:basedOn w:val="a0"/>
    <w:uiPriority w:val="20"/>
    <w:qFormat/>
    <w:rsid w:val="0088600D"/>
    <w:rPr>
      <w:i/>
      <w:iCs/>
    </w:rPr>
  </w:style>
  <w:style w:type="paragraph" w:styleId="a4">
    <w:name w:val="Normal (Web)"/>
    <w:basedOn w:val="a"/>
    <w:uiPriority w:val="99"/>
    <w:semiHidden/>
    <w:unhideWhenUsed/>
    <w:rsid w:val="0088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600D"/>
    <w:rPr>
      <w:b/>
      <w:bCs/>
    </w:rPr>
  </w:style>
  <w:style w:type="character" w:styleId="a6">
    <w:name w:val="Hyperlink"/>
    <w:basedOn w:val="a0"/>
    <w:uiPriority w:val="99"/>
    <w:semiHidden/>
    <w:unhideWhenUsed/>
    <w:rsid w:val="00886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2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8906</Characters>
  <Application>Microsoft Office Word</Application>
  <DocSecurity>0</DocSecurity>
  <Lines>171</Lines>
  <Paragraphs>50</Paragraphs>
  <ScaleCrop>false</ScaleCrop>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2024-12-21T17:39:00Z</dcterms:created>
  <dcterms:modified xsi:type="dcterms:W3CDTF">2024-12-21T17:40:00Z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345c6408-755f-4ab8-91e8-d0297a0b2b4c</vt:lpwstr>
  </property>
</Properties>
</file>