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95" w:rsidRPr="00B86F95" w:rsidRDefault="00B86F95" w:rsidP="00B86F95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B86F95">
        <w:rPr>
          <w:rFonts w:ascii="Times New Roman" w:hAnsi="Times New Roman" w:cs="Times New Roman"/>
          <w:b/>
          <w:iCs/>
          <w:sz w:val="24"/>
          <w:lang w:val="uk-UA"/>
        </w:rPr>
        <w:t>УДК 621.838.4</w:t>
      </w:r>
    </w:p>
    <w:p w:rsidR="00B86F95" w:rsidRPr="00A02B81" w:rsidRDefault="00B86F95" w:rsidP="00B86F95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86F95" w:rsidRDefault="00B86F95" w:rsidP="00BB2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ПИТАННЯ ЩОДО ТЕПЛОТЕХНІЧНОГО ОБ</w:t>
      </w:r>
      <w:r w:rsidR="00BB2EB4" w:rsidRPr="00BB2EB4">
        <w:rPr>
          <w:rFonts w:ascii="Times New Roman" w:hAnsi="Times New Roman" w:cs="Times New Roman"/>
          <w:b/>
          <w:sz w:val="24"/>
          <w:szCs w:val="24"/>
        </w:rPr>
        <w:t>Ґ</w:t>
      </w:r>
      <w:r>
        <w:rPr>
          <w:rFonts w:ascii="Times New Roman" w:hAnsi="Times New Roman"/>
          <w:b/>
          <w:sz w:val="24"/>
          <w:szCs w:val="24"/>
          <w:lang w:val="uk-UA"/>
        </w:rPr>
        <w:t>РУНТУВАННЯ ПОЖЕЖОНЕБЕЗПЕЧНОСТІ РЕЗЕРВУАРІВ</w:t>
      </w:r>
    </w:p>
    <w:p w:rsidR="00B86F95" w:rsidRPr="00A02B81" w:rsidRDefault="00B86F95" w:rsidP="00BB2E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ДЛЯ ЗБЕРІГАННЯ НАФТИ І НАФТОПРОДУКТІВ</w:t>
      </w:r>
    </w:p>
    <w:p w:rsidR="00B86F95" w:rsidRDefault="00B86F95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B86F95" w:rsidRPr="00A02B81" w:rsidRDefault="00B86F95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Дендаренко Ю.Ю.</w:t>
      </w:r>
      <w:r w:rsidRPr="00A02B81">
        <w:rPr>
          <w:rFonts w:ascii="Times New Roman" w:hAnsi="Times New Roman"/>
          <w:i/>
          <w:sz w:val="24"/>
          <w:szCs w:val="24"/>
          <w:lang w:val="uk-UA"/>
        </w:rPr>
        <w:t>,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канд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техн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 наук, доцент,</w:t>
      </w:r>
    </w:p>
    <w:p w:rsidR="00B86F95" w:rsidRDefault="00B86F95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Черкаський інститут</w:t>
      </w:r>
      <w:r w:rsidRPr="00A02B81">
        <w:rPr>
          <w:rFonts w:ascii="Times New Roman" w:hAnsi="Times New Roman"/>
          <w:i/>
          <w:sz w:val="24"/>
          <w:szCs w:val="24"/>
          <w:lang w:val="uk-UA"/>
        </w:rPr>
        <w:t xml:space="preserve"> пожежної безпеки імені Героїв Чорнобиля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НУЦЗУ,</w:t>
      </w:r>
    </w:p>
    <w:p w:rsidR="00B86F95" w:rsidRDefault="00B86F95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доцент кафедри пожежної тактики та аварійно-рятувальних робіт</w:t>
      </w:r>
    </w:p>
    <w:p w:rsidR="00B86F95" w:rsidRDefault="00B86F95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Дивень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В.І,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канд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іст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 наук, доцент,</w:t>
      </w:r>
    </w:p>
    <w:p w:rsidR="00B86F95" w:rsidRDefault="00B86F95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Черкаський інститут</w:t>
      </w:r>
      <w:r w:rsidRPr="00A02B81">
        <w:rPr>
          <w:rFonts w:ascii="Times New Roman" w:hAnsi="Times New Roman"/>
          <w:i/>
          <w:sz w:val="24"/>
          <w:szCs w:val="24"/>
          <w:lang w:val="uk-UA"/>
        </w:rPr>
        <w:t xml:space="preserve"> пожежної безпеки імені Героїв Чорнобиля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НУЦЗУ,</w:t>
      </w:r>
    </w:p>
    <w:p w:rsidR="00B86F95" w:rsidRDefault="00B86F95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доцент кафедри пожежно</w:t>
      </w:r>
      <w:r w:rsidR="00BB2EB4">
        <w:rPr>
          <w:rFonts w:ascii="Times New Roman" w:hAnsi="Times New Roman"/>
          <w:i/>
          <w:sz w:val="24"/>
          <w:szCs w:val="24"/>
          <w:lang w:val="uk-UA"/>
        </w:rPr>
        <w:t>-профілактичної роботи</w:t>
      </w:r>
    </w:p>
    <w:p w:rsidR="00B86F95" w:rsidRDefault="00BB2EB4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Щепак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С.В.</w:t>
      </w:r>
    </w:p>
    <w:p w:rsidR="00BB2EB4" w:rsidRDefault="00BB2EB4" w:rsidP="00BB2EB4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Черкаський інститут</w:t>
      </w:r>
      <w:r w:rsidRPr="00A02B81">
        <w:rPr>
          <w:rFonts w:ascii="Times New Roman" w:hAnsi="Times New Roman"/>
          <w:i/>
          <w:sz w:val="24"/>
          <w:szCs w:val="24"/>
          <w:lang w:val="uk-UA"/>
        </w:rPr>
        <w:t xml:space="preserve"> пожежної безпеки імені Героїв Чорнобиля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НУЦЗУ,</w:t>
      </w:r>
    </w:p>
    <w:p w:rsidR="007C60B4" w:rsidRDefault="00BB2EB4" w:rsidP="00BB2EB4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викладач кафедри пожежної тактики та аварійно-рятувальних робіт</w:t>
      </w:r>
    </w:p>
    <w:p w:rsidR="007C60B4" w:rsidRDefault="007C60B4" w:rsidP="007C60B4">
      <w:pPr>
        <w:pStyle w:val="a3"/>
        <w:spacing w:line="240" w:lineRule="auto"/>
        <w:rPr>
          <w:sz w:val="24"/>
          <w:szCs w:val="24"/>
        </w:rPr>
      </w:pP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Задача оцінки </w:t>
      </w:r>
      <w:proofErr w:type="spellStart"/>
      <w:r w:rsidRPr="007C60B4">
        <w:rPr>
          <w:sz w:val="24"/>
          <w:szCs w:val="24"/>
        </w:rPr>
        <w:t>пожежонебезпечності</w:t>
      </w:r>
      <w:proofErr w:type="spellEnd"/>
      <w:r w:rsidRPr="007C60B4">
        <w:rPr>
          <w:sz w:val="24"/>
          <w:szCs w:val="24"/>
        </w:rPr>
        <w:t xml:space="preserve"> вертикального сталевого резервуара, в якому зберігається легкозаймиста рідина, має містити у собі питання нестаціонарної передачі тепла конфекцією до тіла резервуара </w:t>
      </w:r>
      <w:r w:rsidR="00BB2EB4">
        <w:rPr>
          <w:sz w:val="24"/>
          <w:szCs w:val="24"/>
        </w:rPr>
        <w:t>(далі по тексту замість виразу «</w:t>
      </w:r>
      <w:r w:rsidRPr="007C60B4">
        <w:rPr>
          <w:sz w:val="24"/>
          <w:szCs w:val="24"/>
        </w:rPr>
        <w:t>стінка резервуара</w:t>
      </w:r>
      <w:r w:rsidR="00BB2EB4">
        <w:rPr>
          <w:sz w:val="24"/>
          <w:szCs w:val="24"/>
        </w:rPr>
        <w:t>» будемо використовувати вираз «</w:t>
      </w:r>
      <w:r w:rsidRPr="007C60B4">
        <w:rPr>
          <w:sz w:val="24"/>
          <w:szCs w:val="24"/>
        </w:rPr>
        <w:t>тіло резервуара</w:t>
      </w:r>
      <w:r w:rsidR="00BB2EB4">
        <w:rPr>
          <w:sz w:val="24"/>
          <w:szCs w:val="24"/>
        </w:rPr>
        <w:t>»</w:t>
      </w:r>
      <w:r w:rsidRPr="007C60B4">
        <w:rPr>
          <w:sz w:val="24"/>
          <w:szCs w:val="24"/>
        </w:rPr>
        <w:t xml:space="preserve">, оскільки задача, яку належить розв’язати, стосується металевих стінок різної товщини ємностей, які містять легкозаймисті, горючі рідини або їх пари) та від нього, розподілення температур у тілі резервуара, а також підігріву середовища, яке знаходиться всередині. Цей підігрів важливий і самий по собі, але він ще й </w:t>
      </w:r>
      <w:r w:rsidR="00AD5258">
        <w:rPr>
          <w:sz w:val="24"/>
          <w:szCs w:val="24"/>
        </w:rPr>
        <w:t>значно</w:t>
      </w:r>
      <w:r w:rsidRPr="007C60B4">
        <w:rPr>
          <w:sz w:val="24"/>
          <w:szCs w:val="24"/>
        </w:rPr>
        <w:t xml:space="preserve"> впливає на величину тепловіддачі від резервуара до внутрішнього середовища</w:t>
      </w:r>
      <w:r w:rsidR="008D3CC9">
        <w:rPr>
          <w:sz w:val="24"/>
          <w:szCs w:val="24"/>
        </w:rPr>
        <w:t xml:space="preserve"> </w:t>
      </w:r>
      <w:r w:rsidR="008D3CC9" w:rsidRPr="008D3CC9">
        <w:rPr>
          <w:sz w:val="24"/>
          <w:szCs w:val="24"/>
          <w:lang w:val="ru-RU"/>
        </w:rPr>
        <w:t>[</w:t>
      </w:r>
      <w:r w:rsidR="008D3CC9">
        <w:rPr>
          <w:sz w:val="24"/>
          <w:szCs w:val="24"/>
          <w:lang w:val="ru-RU"/>
        </w:rPr>
        <w:t>1; 2</w:t>
      </w:r>
      <w:r w:rsidR="008D3CC9" w:rsidRPr="008D3CC9">
        <w:rPr>
          <w:sz w:val="24"/>
          <w:szCs w:val="24"/>
          <w:lang w:val="ru-RU"/>
        </w:rPr>
        <w:t>]</w:t>
      </w:r>
      <w:r w:rsidRPr="007C60B4">
        <w:rPr>
          <w:sz w:val="24"/>
          <w:szCs w:val="24"/>
        </w:rPr>
        <w:t>.</w:t>
      </w:r>
    </w:p>
    <w:p w:rsidR="007C60B4" w:rsidRPr="00310D7B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>Розподілення температур у тілі резервуара описується рівнянням</w:t>
      </w:r>
      <w:r w:rsidR="00310D7B">
        <w:rPr>
          <w:sz w:val="24"/>
          <w:szCs w:val="24"/>
        </w:rPr>
        <w:t xml:space="preserve"> </w:t>
      </w:r>
      <w:r w:rsidR="00310D7B" w:rsidRPr="00310D7B">
        <w:rPr>
          <w:sz w:val="24"/>
          <w:szCs w:val="24"/>
          <w:lang w:val="ru-RU"/>
        </w:rPr>
        <w:t>[</w:t>
      </w:r>
      <w:r w:rsidR="00310D7B">
        <w:rPr>
          <w:sz w:val="24"/>
          <w:szCs w:val="24"/>
          <w:lang w:val="ru-RU"/>
        </w:rPr>
        <w:t>3</w:t>
      </w:r>
      <w:r w:rsidR="00310D7B" w:rsidRPr="00310D7B">
        <w:rPr>
          <w:sz w:val="24"/>
          <w:szCs w:val="24"/>
          <w:lang w:val="ru-RU"/>
        </w:rPr>
        <w:t>]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</w:p>
    <w:p w:rsidR="007C60B4" w:rsidRPr="007C60B4" w:rsidRDefault="007C60B4" w:rsidP="007C60B4">
      <w:pPr>
        <w:pStyle w:val="a3"/>
        <w:spacing w:line="240" w:lineRule="auto"/>
        <w:jc w:val="right"/>
        <w:rPr>
          <w:sz w:val="24"/>
          <w:szCs w:val="24"/>
        </w:rPr>
      </w:pPr>
      <w:r w:rsidRPr="007C60B4">
        <w:rPr>
          <w:position w:val="-36"/>
          <w:sz w:val="24"/>
          <w:szCs w:val="24"/>
        </w:rPr>
        <w:object w:dxaOrig="25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42.75pt" o:ole="">
            <v:imagedata r:id="rId6" o:title=""/>
          </v:shape>
          <o:OLEObject Type="Embed" ProgID="Equation.3" ShapeID="_x0000_i1025" DrawAspect="Content" ObjectID="_1788158843" r:id="rId7"/>
        </w:object>
      </w:r>
      <w:r w:rsidRPr="007C60B4">
        <w:rPr>
          <w:sz w:val="24"/>
          <w:szCs w:val="24"/>
        </w:rPr>
        <w:t>,</w:t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  <w:t>(1)</w:t>
      </w:r>
    </w:p>
    <w:p w:rsidR="007C60B4" w:rsidRPr="007C60B4" w:rsidRDefault="007C60B4" w:rsidP="007C60B4">
      <w:pPr>
        <w:pStyle w:val="a3"/>
        <w:spacing w:line="240" w:lineRule="auto"/>
        <w:jc w:val="right"/>
        <w:rPr>
          <w:sz w:val="24"/>
          <w:szCs w:val="24"/>
        </w:rPr>
      </w:pP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>де Т – температура;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      t – час;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      r – радіус (рис. 1.);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      a – коефіцієнт </w:t>
      </w:r>
      <w:r w:rsidR="00AD5258" w:rsidRPr="007C60B4">
        <w:rPr>
          <w:sz w:val="24"/>
          <w:szCs w:val="24"/>
        </w:rPr>
        <w:t>температуропровідності</w:t>
      </w:r>
      <w:r w:rsidRPr="007C60B4">
        <w:rPr>
          <w:sz w:val="24"/>
          <w:szCs w:val="24"/>
        </w:rPr>
        <w:t>.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>Граничними умовами задачі є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</w:p>
    <w:p w:rsidR="007C60B4" w:rsidRPr="007C60B4" w:rsidRDefault="007C60B4" w:rsidP="007C60B4">
      <w:pPr>
        <w:pStyle w:val="a3"/>
        <w:spacing w:line="240" w:lineRule="auto"/>
        <w:jc w:val="right"/>
        <w:rPr>
          <w:sz w:val="24"/>
          <w:szCs w:val="24"/>
        </w:rPr>
      </w:pPr>
      <w:r w:rsidRPr="007C60B4">
        <w:rPr>
          <w:position w:val="-28"/>
          <w:sz w:val="24"/>
          <w:szCs w:val="24"/>
        </w:rPr>
        <w:object w:dxaOrig="3180" w:dyaOrig="720">
          <v:shape id="_x0000_i1026" type="#_x0000_t75" style="width:159pt;height:36pt" o:ole="">
            <v:imagedata r:id="rId8" o:title=""/>
          </v:shape>
          <o:OLEObject Type="Embed" ProgID="Equation.3" ShapeID="_x0000_i1026" DrawAspect="Content" ObjectID="_1788158844" r:id="rId9"/>
        </w:object>
      </w:r>
      <w:r w:rsidRPr="007C60B4">
        <w:rPr>
          <w:sz w:val="24"/>
          <w:szCs w:val="24"/>
        </w:rPr>
        <w:t>;</w:t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  <w:t>(2)</w:t>
      </w:r>
    </w:p>
    <w:p w:rsidR="007C60B4" w:rsidRPr="007C60B4" w:rsidRDefault="007C60B4" w:rsidP="007C60B4">
      <w:pPr>
        <w:pStyle w:val="a3"/>
        <w:spacing w:line="240" w:lineRule="auto"/>
        <w:jc w:val="right"/>
        <w:rPr>
          <w:sz w:val="24"/>
          <w:szCs w:val="24"/>
        </w:rPr>
      </w:pPr>
    </w:p>
    <w:p w:rsidR="007C60B4" w:rsidRPr="007C60B4" w:rsidRDefault="007C60B4" w:rsidP="007C60B4">
      <w:pPr>
        <w:pStyle w:val="a3"/>
        <w:spacing w:line="240" w:lineRule="auto"/>
        <w:jc w:val="right"/>
        <w:rPr>
          <w:sz w:val="24"/>
          <w:szCs w:val="24"/>
        </w:rPr>
      </w:pPr>
      <w:r w:rsidRPr="007C60B4">
        <w:rPr>
          <w:position w:val="-28"/>
          <w:sz w:val="24"/>
          <w:szCs w:val="24"/>
        </w:rPr>
        <w:object w:dxaOrig="3000" w:dyaOrig="720">
          <v:shape id="_x0000_i1027" type="#_x0000_t75" style="width:150pt;height:36pt" o:ole="">
            <v:imagedata r:id="rId10" o:title=""/>
          </v:shape>
          <o:OLEObject Type="Embed" ProgID="Equation.3" ShapeID="_x0000_i1027" DrawAspect="Content" ObjectID="_1788158845" r:id="rId11"/>
        </w:object>
      </w:r>
      <w:r w:rsidRPr="007C60B4">
        <w:rPr>
          <w:sz w:val="24"/>
          <w:szCs w:val="24"/>
        </w:rPr>
        <w:t>,</w:t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</w:r>
      <w:r w:rsidRPr="007C60B4">
        <w:rPr>
          <w:sz w:val="24"/>
          <w:szCs w:val="24"/>
        </w:rPr>
        <w:tab/>
        <w:t>(3)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де </w:t>
      </w:r>
      <w:r w:rsidRPr="007C60B4">
        <w:rPr>
          <w:sz w:val="24"/>
          <w:szCs w:val="24"/>
        </w:rPr>
        <w:sym w:font="Symbol" w:char="F06C"/>
      </w:r>
      <w:proofErr w:type="spellStart"/>
      <w:r w:rsidRPr="007C60B4">
        <w:rPr>
          <w:sz w:val="24"/>
          <w:szCs w:val="24"/>
          <w:vertAlign w:val="subscript"/>
        </w:rPr>
        <w:t>ст</w:t>
      </w:r>
      <w:proofErr w:type="spellEnd"/>
      <w:r w:rsidRPr="007C60B4">
        <w:rPr>
          <w:sz w:val="24"/>
          <w:szCs w:val="24"/>
        </w:rPr>
        <w:t xml:space="preserve"> – коефіцієнт теплопровідності матеріалу виготовлення резервуара (сталь);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      </w:t>
      </w:r>
      <w:r w:rsidRPr="007C60B4">
        <w:rPr>
          <w:sz w:val="24"/>
          <w:szCs w:val="24"/>
        </w:rPr>
        <w:sym w:font="Symbol" w:char="F061"/>
      </w:r>
      <w:r w:rsidRPr="007C60B4">
        <w:rPr>
          <w:sz w:val="24"/>
          <w:szCs w:val="24"/>
          <w:vertAlign w:val="subscript"/>
        </w:rPr>
        <w:t>з</w:t>
      </w:r>
      <w:r w:rsidRPr="007C60B4">
        <w:rPr>
          <w:sz w:val="24"/>
          <w:szCs w:val="24"/>
        </w:rPr>
        <w:t xml:space="preserve">, </w:t>
      </w:r>
      <w:r w:rsidRPr="007C60B4">
        <w:rPr>
          <w:sz w:val="24"/>
          <w:szCs w:val="24"/>
        </w:rPr>
        <w:sym w:font="Symbol" w:char="F061"/>
      </w:r>
      <w:proofErr w:type="spellStart"/>
      <w:r w:rsidRPr="007C60B4">
        <w:rPr>
          <w:sz w:val="24"/>
          <w:szCs w:val="24"/>
          <w:vertAlign w:val="subscript"/>
        </w:rPr>
        <w:t>вн</w:t>
      </w:r>
      <w:proofErr w:type="spellEnd"/>
      <w:r w:rsidRPr="007C60B4">
        <w:rPr>
          <w:sz w:val="24"/>
          <w:szCs w:val="24"/>
        </w:rPr>
        <w:t xml:space="preserve"> – коефіцієнти тепловіддачі конвекцією від навколишнього повітря до зовнішньої поверхні резервуара та від внутрішньої поверхні до середовища всередині резервуара;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      </w:t>
      </w:r>
      <w:proofErr w:type="spellStart"/>
      <w:r w:rsidRPr="007C60B4">
        <w:rPr>
          <w:sz w:val="24"/>
          <w:szCs w:val="24"/>
        </w:rPr>
        <w:t>Т</w:t>
      </w:r>
      <w:r w:rsidRPr="007C60B4">
        <w:rPr>
          <w:sz w:val="24"/>
          <w:szCs w:val="24"/>
          <w:vertAlign w:val="subscript"/>
        </w:rPr>
        <w:t>н</w:t>
      </w:r>
      <w:proofErr w:type="spellEnd"/>
      <w:r w:rsidRPr="007C60B4">
        <w:rPr>
          <w:sz w:val="24"/>
          <w:szCs w:val="24"/>
        </w:rPr>
        <w:t> – температура навколишнього середовища, яка містить ефект інфрачервоного випромінювання. Вона вважається у цій задачі відомою;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lastRenderedPageBreak/>
        <w:t xml:space="preserve">      </w:t>
      </w:r>
      <w:proofErr w:type="spellStart"/>
      <w:r w:rsidRPr="007C60B4">
        <w:rPr>
          <w:sz w:val="24"/>
          <w:szCs w:val="24"/>
        </w:rPr>
        <w:t>Т</w:t>
      </w:r>
      <w:r w:rsidRPr="007C60B4">
        <w:rPr>
          <w:sz w:val="24"/>
          <w:szCs w:val="24"/>
          <w:vertAlign w:val="subscript"/>
        </w:rPr>
        <w:t>ср</w:t>
      </w:r>
      <w:proofErr w:type="spellEnd"/>
      <w:r w:rsidRPr="007C60B4">
        <w:rPr>
          <w:sz w:val="24"/>
          <w:szCs w:val="24"/>
        </w:rPr>
        <w:t xml:space="preserve"> – температура середовища всередині резервуара, яка є функцією процесу в цілому;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      </w:t>
      </w:r>
      <w:proofErr w:type="spellStart"/>
      <w:r w:rsidRPr="007C60B4">
        <w:rPr>
          <w:sz w:val="24"/>
          <w:szCs w:val="24"/>
        </w:rPr>
        <w:t>R</w:t>
      </w:r>
      <w:r w:rsidRPr="007C60B4">
        <w:rPr>
          <w:sz w:val="24"/>
          <w:szCs w:val="24"/>
          <w:vertAlign w:val="subscript"/>
        </w:rPr>
        <w:t>з</w:t>
      </w:r>
      <w:proofErr w:type="spellEnd"/>
      <w:r w:rsidRPr="007C60B4">
        <w:rPr>
          <w:sz w:val="24"/>
          <w:szCs w:val="24"/>
        </w:rPr>
        <w:t xml:space="preserve">, </w:t>
      </w:r>
      <w:proofErr w:type="spellStart"/>
      <w:r w:rsidRPr="007C60B4">
        <w:rPr>
          <w:sz w:val="24"/>
          <w:szCs w:val="24"/>
        </w:rPr>
        <w:t>R</w:t>
      </w:r>
      <w:r w:rsidRPr="007C60B4">
        <w:rPr>
          <w:sz w:val="24"/>
          <w:szCs w:val="24"/>
          <w:vertAlign w:val="subscript"/>
        </w:rPr>
        <w:t>вн</w:t>
      </w:r>
      <w:proofErr w:type="spellEnd"/>
      <w:r w:rsidRPr="007C60B4">
        <w:rPr>
          <w:sz w:val="24"/>
          <w:szCs w:val="24"/>
        </w:rPr>
        <w:t xml:space="preserve"> – зовнішній і внутрішній радіуси резервуара.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>Звичайно, з метою доведення необхідності створення гідравлічного захисту від впливу теплового потоку вертикальних сталевих резервуарів, які містять нафту або нафтопродукт, необхідно дослідити процес підвищення та розподілення температур у тілі резервуара, а також його негативний вплив на середовище, що міститься всередині.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</w:p>
    <w:p w:rsidR="007C60B4" w:rsidRPr="007C60B4" w:rsidRDefault="007C60B4" w:rsidP="007C60B4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 w:rsidRPr="007C60B4">
        <w:rPr>
          <w:sz w:val="24"/>
          <w:szCs w:val="24"/>
        </w:rPr>
        <w:object w:dxaOrig="9646" w:dyaOrig="3857">
          <v:shape id="_x0000_i1028" type="#_x0000_t75" style="width:519pt;height:207pt" o:ole="">
            <v:imagedata r:id="rId12" o:title=""/>
          </v:shape>
          <o:OLEObject Type="Embed" ProgID="CorelDRAW.Graphic.11" ShapeID="_x0000_i1028" DrawAspect="Content" ObjectID="_1788158846" r:id="rId13"/>
        </w:objec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</w:p>
    <w:p w:rsidR="007C60B4" w:rsidRPr="007C60B4" w:rsidRDefault="007C60B4" w:rsidP="007C60B4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 w:rsidRPr="007C60B4">
        <w:rPr>
          <w:sz w:val="24"/>
          <w:szCs w:val="24"/>
        </w:rPr>
        <w:t>Рис. 1. До розподілення температур у тілі резервуара.</w:t>
      </w:r>
    </w:p>
    <w:p w:rsidR="007C60B4" w:rsidRPr="007C60B4" w:rsidRDefault="007C60B4" w:rsidP="007C60B4">
      <w:pPr>
        <w:pStyle w:val="a3"/>
        <w:spacing w:line="240" w:lineRule="auto"/>
        <w:rPr>
          <w:sz w:val="24"/>
          <w:szCs w:val="24"/>
        </w:rPr>
      </w:pPr>
    </w:p>
    <w:p w:rsidR="007C60B4" w:rsidRDefault="007C60B4" w:rsidP="00B86F95">
      <w:pPr>
        <w:pStyle w:val="a3"/>
        <w:spacing w:line="240" w:lineRule="auto"/>
        <w:rPr>
          <w:sz w:val="24"/>
          <w:szCs w:val="24"/>
        </w:rPr>
      </w:pPr>
      <w:r w:rsidRPr="007C60B4">
        <w:rPr>
          <w:sz w:val="24"/>
          <w:szCs w:val="24"/>
        </w:rPr>
        <w:t xml:space="preserve">Задача, природно, є нестаціонарною. Але саме ці обставини полегшують її розв’язання. Знаючи початкове розподілення температур у тілі резервуара та середовища всередині, а також температуру </w:t>
      </w:r>
      <w:proofErr w:type="spellStart"/>
      <w:r w:rsidRPr="007C60B4">
        <w:rPr>
          <w:sz w:val="24"/>
          <w:szCs w:val="24"/>
        </w:rPr>
        <w:t>Т</w:t>
      </w:r>
      <w:r w:rsidRPr="007C60B4">
        <w:rPr>
          <w:sz w:val="24"/>
          <w:szCs w:val="24"/>
          <w:vertAlign w:val="subscript"/>
        </w:rPr>
        <w:t>н</w:t>
      </w:r>
      <w:proofErr w:type="spellEnd"/>
      <w:r w:rsidRPr="007C60B4">
        <w:rPr>
          <w:sz w:val="24"/>
          <w:szCs w:val="24"/>
        </w:rPr>
        <w:t xml:space="preserve"> у початковий момент часу, за</w:t>
      </w:r>
      <w:r w:rsidR="00AD5258">
        <w:rPr>
          <w:sz w:val="24"/>
          <w:szCs w:val="24"/>
        </w:rPr>
        <w:t xml:space="preserve"> відомими емпіричними зв’язкам, описаними основами теплопередачі,</w:t>
      </w:r>
      <w:r w:rsidRPr="007C60B4">
        <w:rPr>
          <w:sz w:val="24"/>
          <w:szCs w:val="24"/>
        </w:rPr>
        <w:t xml:space="preserve"> </w:t>
      </w:r>
      <w:r w:rsidR="00AD5258">
        <w:rPr>
          <w:sz w:val="24"/>
          <w:szCs w:val="24"/>
        </w:rPr>
        <w:t xml:space="preserve">можна </w:t>
      </w:r>
      <w:r w:rsidRPr="007C60B4">
        <w:rPr>
          <w:sz w:val="24"/>
          <w:szCs w:val="24"/>
        </w:rPr>
        <w:t>зна</w:t>
      </w:r>
      <w:r w:rsidR="00AD5258">
        <w:rPr>
          <w:sz w:val="24"/>
          <w:szCs w:val="24"/>
        </w:rPr>
        <w:t>йти</w:t>
      </w:r>
      <w:r w:rsidRPr="007C60B4">
        <w:rPr>
          <w:sz w:val="24"/>
          <w:szCs w:val="24"/>
        </w:rPr>
        <w:t xml:space="preserve"> коефіцієнти тепловіддачі </w:t>
      </w:r>
      <w:r w:rsidRPr="007C60B4">
        <w:rPr>
          <w:sz w:val="24"/>
          <w:szCs w:val="24"/>
        </w:rPr>
        <w:sym w:font="Symbol" w:char="F061"/>
      </w:r>
      <w:r w:rsidRPr="007C60B4">
        <w:rPr>
          <w:sz w:val="24"/>
          <w:szCs w:val="24"/>
          <w:vertAlign w:val="subscript"/>
        </w:rPr>
        <w:t>з</w:t>
      </w:r>
      <w:r w:rsidRPr="007C60B4">
        <w:rPr>
          <w:sz w:val="24"/>
          <w:szCs w:val="24"/>
        </w:rPr>
        <w:t xml:space="preserve"> та </w:t>
      </w:r>
      <w:r w:rsidRPr="007C60B4">
        <w:rPr>
          <w:sz w:val="24"/>
          <w:szCs w:val="24"/>
        </w:rPr>
        <w:sym w:font="Symbol" w:char="F061"/>
      </w:r>
      <w:proofErr w:type="spellStart"/>
      <w:r w:rsidRPr="007C60B4">
        <w:rPr>
          <w:sz w:val="24"/>
          <w:szCs w:val="24"/>
          <w:vertAlign w:val="subscript"/>
        </w:rPr>
        <w:t>вн</w:t>
      </w:r>
      <w:proofErr w:type="spellEnd"/>
      <w:r w:rsidRPr="007C60B4">
        <w:rPr>
          <w:sz w:val="24"/>
          <w:szCs w:val="24"/>
        </w:rPr>
        <w:t xml:space="preserve">. Визначивши тепловий потік у бік середовища всередині резервуара, </w:t>
      </w:r>
      <w:r w:rsidR="00AD5258">
        <w:rPr>
          <w:sz w:val="24"/>
          <w:szCs w:val="24"/>
        </w:rPr>
        <w:t xml:space="preserve">виникає можливість </w:t>
      </w:r>
      <w:r w:rsidRPr="007C60B4">
        <w:rPr>
          <w:sz w:val="24"/>
          <w:szCs w:val="24"/>
        </w:rPr>
        <w:t>визнач</w:t>
      </w:r>
      <w:r w:rsidR="00AD5258">
        <w:rPr>
          <w:sz w:val="24"/>
          <w:szCs w:val="24"/>
        </w:rPr>
        <w:t>ення</w:t>
      </w:r>
      <w:r w:rsidRPr="007C60B4">
        <w:rPr>
          <w:sz w:val="24"/>
          <w:szCs w:val="24"/>
        </w:rPr>
        <w:t xml:space="preserve"> його підігрів</w:t>
      </w:r>
      <w:r w:rsidR="00AD5258">
        <w:rPr>
          <w:sz w:val="24"/>
          <w:szCs w:val="24"/>
        </w:rPr>
        <w:t>у</w:t>
      </w:r>
      <w:r w:rsidRPr="007C60B4">
        <w:rPr>
          <w:sz w:val="24"/>
          <w:szCs w:val="24"/>
        </w:rPr>
        <w:t xml:space="preserve"> на порівняно малому проміжку часу та розподілення температур у тілі резервуара. На кожному часовому проміжку (кроці) </w:t>
      </w:r>
      <w:proofErr w:type="spellStart"/>
      <w:r w:rsidRPr="007C60B4">
        <w:rPr>
          <w:sz w:val="24"/>
          <w:szCs w:val="24"/>
        </w:rPr>
        <w:t>уточнюється</w:t>
      </w:r>
      <w:proofErr w:type="spellEnd"/>
      <w:r w:rsidRPr="007C60B4">
        <w:rPr>
          <w:sz w:val="24"/>
          <w:szCs w:val="24"/>
        </w:rPr>
        <w:t xml:space="preserve"> визначення перерахованих функцій.</w:t>
      </w:r>
    </w:p>
    <w:p w:rsidR="00B86F95" w:rsidRDefault="00B86F95" w:rsidP="00B86F95">
      <w:pPr>
        <w:pStyle w:val="a3"/>
        <w:spacing w:line="240" w:lineRule="auto"/>
        <w:rPr>
          <w:sz w:val="24"/>
          <w:szCs w:val="24"/>
        </w:rPr>
      </w:pPr>
    </w:p>
    <w:p w:rsidR="00B86F95" w:rsidRDefault="00B86F95" w:rsidP="00B86F95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B86F95">
        <w:rPr>
          <w:b/>
          <w:sz w:val="24"/>
          <w:szCs w:val="24"/>
        </w:rPr>
        <w:t>ЛІТЕРАТУРА</w:t>
      </w:r>
    </w:p>
    <w:p w:rsidR="00B86F95" w:rsidRPr="00B86F95" w:rsidRDefault="00B86F95" w:rsidP="00B86F95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B86F95" w:rsidRPr="008D3CC9" w:rsidRDefault="00B86F95" w:rsidP="00B86F9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2"/>
          <w:szCs w:val="24"/>
        </w:rPr>
      </w:pPr>
      <w:r w:rsidRPr="00B86F95">
        <w:rPr>
          <w:sz w:val="24"/>
        </w:rPr>
        <w:t xml:space="preserve">ВБН В.2.2-58.1-94. Проектування складів нафти і нафтопродуктів з тиском насичених парів не вище 93,3 кПа. – К.: </w:t>
      </w:r>
      <w:proofErr w:type="spellStart"/>
      <w:r w:rsidRPr="00B86F95">
        <w:rPr>
          <w:sz w:val="24"/>
        </w:rPr>
        <w:t>Держкомнафтогаз</w:t>
      </w:r>
      <w:proofErr w:type="spellEnd"/>
      <w:r w:rsidRPr="00B86F95">
        <w:rPr>
          <w:sz w:val="24"/>
        </w:rPr>
        <w:t>, 1994. – 153 с.</w:t>
      </w:r>
    </w:p>
    <w:p w:rsidR="008D3CC9" w:rsidRPr="008D3CC9" w:rsidRDefault="008D3CC9" w:rsidP="00B86F9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0"/>
          <w:szCs w:val="24"/>
        </w:rPr>
      </w:pPr>
      <w:r w:rsidRPr="008D3CC9">
        <w:rPr>
          <w:sz w:val="24"/>
        </w:rPr>
        <w:t>Дендаренко Ю.Ю. Радіальні теплоізоляційні водяні струмені для протипожежного захисту вертикальних сталевих резервуарів // Вісник Черкаського державного технологічного університету: Н</w:t>
      </w:r>
      <w:r w:rsidRPr="008D3CC9">
        <w:rPr>
          <w:sz w:val="24"/>
        </w:rPr>
        <w:t>а</w:t>
      </w:r>
      <w:r w:rsidRPr="008D3CC9">
        <w:rPr>
          <w:sz w:val="24"/>
        </w:rPr>
        <w:t>уково-технічний журнал. – Черкаси: № 3, 2002. – С. 114-116.</w:t>
      </w:r>
    </w:p>
    <w:p w:rsidR="008D3CC9" w:rsidRPr="008D3CC9" w:rsidRDefault="008D3CC9" w:rsidP="00B86F9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18"/>
          <w:szCs w:val="24"/>
        </w:rPr>
      </w:pPr>
      <w:r w:rsidRPr="008D3CC9">
        <w:rPr>
          <w:sz w:val="24"/>
        </w:rPr>
        <w:t>Попов В.М., Куценко Л.М., Семенова-Куліш В.В. Метод оцінки теплового потоку, що випромінюється еліпсоїдом як факелом полум’я. – Харків: ХІПБ МВС України, 2000. – 144 с.</w:t>
      </w:r>
    </w:p>
    <w:sectPr w:rsidR="008D3CC9" w:rsidRPr="008D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639D"/>
    <w:multiLevelType w:val="hybridMultilevel"/>
    <w:tmpl w:val="658E863A"/>
    <w:lvl w:ilvl="0" w:tplc="A30ED1A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B4"/>
    <w:rsid w:val="00310D7B"/>
    <w:rsid w:val="005C5530"/>
    <w:rsid w:val="007C60B4"/>
    <w:rsid w:val="008D3CC9"/>
    <w:rsid w:val="00AD5258"/>
    <w:rsid w:val="00B86F95"/>
    <w:rsid w:val="00BB2EB4"/>
    <w:rsid w:val="00F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6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7C60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6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7C60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4</cp:revision>
  <dcterms:created xsi:type="dcterms:W3CDTF">2024-09-18T06:05:00Z</dcterms:created>
  <dcterms:modified xsi:type="dcterms:W3CDTF">2024-09-18T07:00:00Z</dcterms:modified>
</cp:coreProperties>
</file>