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00" w:lineRule="auto"/>
        <w:ind w:left="861" w:right="143" w:firstLine="0"/>
        <w:jc w:val="left"/>
        <w:rPr>
          <w:rFonts w:ascii="Arial" w:hAnsi="Arial" w:eastAsia="Arial" w:cs="Arial"/>
          <w:b w:val="0"/>
          <w:bCs w:val="0"/>
          <w:i w:val="0"/>
          <w:iCs w:val="0"/>
          <w:smallCaps w:val="0"/>
          <w:strike w:val="0"/>
          <w:color w:val="000000"/>
          <w:sz w:val="22"/>
          <w:szCs w:val="22"/>
          <w:u w:val="none"/>
          <w:shd w:val="clear" w:fill="auto"/>
          <w:vertAlign w:val="baseline"/>
        </w:rPr>
      </w:pPr>
      <w:bookmarkStart w:id="0" w:name="_GoBack"/>
      <w:bookmarkEnd w:id="0"/>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5819775" cy="1028700"/>
            <wp:effectExtent l="0" t="0" r="0" b="0"/>
            <wp:docPr id="67" name="image62.png"/>
            <wp:cNvGraphicFramePr/>
            <a:graphic xmlns:a="http://schemas.openxmlformats.org/drawingml/2006/main">
              <a:graphicData uri="http://schemas.openxmlformats.org/drawingml/2006/picture">
                <pic:pic xmlns:pic="http://schemas.openxmlformats.org/drawingml/2006/picture">
                  <pic:nvPicPr>
                    <pic:cNvPr id="67" name="image62.png"/>
                    <pic:cNvPicPr preferRelativeResize="0"/>
                  </pic:nvPicPr>
                  <pic:blipFill>
                    <a:blip r:embed="rId6"/>
                    <a:srcRect/>
                    <a:stretch>
                      <a:fillRect/>
                    </a:stretch>
                  </pic:blipFill>
                  <pic:spPr>
                    <a:xfrm>
                      <a:off x="0" y="0"/>
                      <a:ext cx="5819775" cy="1028700"/>
                    </a:xfrm>
                    <a:prstGeom prst="rect">
                      <a:avLst/>
                    </a:prstGeom>
                  </pic:spPr>
                </pic:pic>
              </a:graphicData>
            </a:graphic>
          </wp:inline>
        </w:drawing>
      </w:r>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1123950" cy="2133600"/>
            <wp:effectExtent l="0" t="0" r="0" b="0"/>
            <wp:docPr id="69" name="image67.png"/>
            <wp:cNvGraphicFramePr/>
            <a:graphic xmlns:a="http://schemas.openxmlformats.org/drawingml/2006/main">
              <a:graphicData uri="http://schemas.openxmlformats.org/drawingml/2006/picture">
                <pic:pic xmlns:pic="http://schemas.openxmlformats.org/drawingml/2006/picture">
                  <pic:nvPicPr>
                    <pic:cNvPr id="69" name="image67.png"/>
                    <pic:cNvPicPr preferRelativeResize="0"/>
                  </pic:nvPicPr>
                  <pic:blipFill>
                    <a:blip r:embed="rId7"/>
                    <a:srcRect/>
                    <a:stretch>
                      <a:fillRect/>
                    </a:stretch>
                  </pic:blipFill>
                  <pic:spPr>
                    <a:xfrm>
                      <a:off x="0" y="0"/>
                      <a:ext cx="1123950" cy="2133600"/>
                    </a:xfrm>
                    <a:prstGeom prst="rect">
                      <a:avLst/>
                    </a:prstGeom>
                  </pic:spPr>
                </pic:pic>
              </a:graphicData>
            </a:graphic>
          </wp:inline>
        </w:drawing>
      </w:r>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2972435" cy="221615"/>
            <wp:effectExtent l="0" t="0" r="0" b="0"/>
            <wp:docPr id="68" name="image74.png"/>
            <wp:cNvGraphicFramePr/>
            <a:graphic xmlns:a="http://schemas.openxmlformats.org/drawingml/2006/main">
              <a:graphicData uri="http://schemas.openxmlformats.org/drawingml/2006/picture">
                <pic:pic xmlns:pic="http://schemas.openxmlformats.org/drawingml/2006/picture">
                  <pic:nvPicPr>
                    <pic:cNvPr id="68" name="image74.png"/>
                    <pic:cNvPicPr preferRelativeResize="0"/>
                  </pic:nvPicPr>
                  <pic:blipFill>
                    <a:blip r:embed="rId8"/>
                    <a:srcRect/>
                    <a:stretch>
                      <a:fillRect/>
                    </a:stretch>
                  </pic:blipFill>
                  <pic:spPr>
                    <a:xfrm>
                      <a:off x="0" y="0"/>
                      <a:ext cx="2972562" cy="221742"/>
                    </a:xfrm>
                    <a:prstGeom prst="rect">
                      <a:avLst/>
                    </a:prstGeom>
                  </pic:spPr>
                </pic:pic>
              </a:graphicData>
            </a:graphic>
          </wp:inline>
        </w:drawing>
      </w:r>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1184275" cy="865505"/>
            <wp:effectExtent l="0" t="0" r="0" b="0"/>
            <wp:docPr id="64" name="image63.png"/>
            <wp:cNvGraphicFramePr/>
            <a:graphic xmlns:a="http://schemas.openxmlformats.org/drawingml/2006/main">
              <a:graphicData uri="http://schemas.openxmlformats.org/drawingml/2006/picture">
                <pic:pic xmlns:pic="http://schemas.openxmlformats.org/drawingml/2006/picture">
                  <pic:nvPicPr>
                    <pic:cNvPr id="64" name="image63.png"/>
                    <pic:cNvPicPr preferRelativeResize="0"/>
                  </pic:nvPicPr>
                  <pic:blipFill>
                    <a:blip r:embed="rId9"/>
                    <a:srcRect/>
                    <a:stretch>
                      <a:fillRect/>
                    </a:stretch>
                  </pic:blipFill>
                  <pic:spPr>
                    <a:xfrm>
                      <a:off x="0" y="0"/>
                      <a:ext cx="1184275" cy="865797"/>
                    </a:xfrm>
                    <a:prstGeom prst="rect">
                      <a:avLst/>
                    </a:prstGeom>
                  </pic:spPr>
                </pic:pic>
              </a:graphicData>
            </a:graphic>
          </wp:inline>
        </w:drawing>
      </w:r>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5037455" cy="3068320"/>
            <wp:effectExtent l="0" t="0" r="0" b="0"/>
            <wp:docPr id="63" name="image69.png"/>
            <wp:cNvGraphicFramePr/>
            <a:graphic xmlns:a="http://schemas.openxmlformats.org/drawingml/2006/main">
              <a:graphicData uri="http://schemas.openxmlformats.org/drawingml/2006/picture">
                <pic:pic xmlns:pic="http://schemas.openxmlformats.org/drawingml/2006/picture">
                  <pic:nvPicPr>
                    <pic:cNvPr id="63" name="image69.png"/>
                    <pic:cNvPicPr preferRelativeResize="0"/>
                  </pic:nvPicPr>
                  <pic:blipFill>
                    <a:blip r:embed="rId10"/>
                    <a:srcRect/>
                    <a:stretch>
                      <a:fillRect/>
                    </a:stretch>
                  </pic:blipFill>
                  <pic:spPr>
                    <a:xfrm>
                      <a:off x="0" y="0"/>
                      <a:ext cx="5037456" cy="3068320"/>
                    </a:xfrm>
                    <a:prstGeom prst="rect">
                      <a:avLst/>
                    </a:prstGeom>
                  </pic:spPr>
                </pic:pic>
              </a:graphicData>
            </a:graphic>
          </wp:inline>
        </w:drawing>
      </w:r>
      <w:r>
        <w:rPr>
          <w:rFonts w:ascii="Arial" w:hAnsi="Arial" w:eastAsia="Arial" w:cs="Arial"/>
          <w:b w:val="0"/>
          <w:bCs w:val="0"/>
          <w:i w:val="0"/>
          <w:iCs w:val="0"/>
          <w:smallCaps w:val="0"/>
          <w:strike w:val="0"/>
          <w:color w:val="000000"/>
          <w:sz w:val="22"/>
          <w:szCs w:val="22"/>
          <w:u w:val="none"/>
          <w:shd w:val="clear" w:fill="auto"/>
          <w:vertAlign w:val="baseline"/>
        </w:rPr>
        <w:drawing>
          <wp:inline distT="19050" distB="19050" distL="19050" distR="19050">
            <wp:extent cx="941070" cy="647700"/>
            <wp:effectExtent l="0" t="0" r="0" b="0"/>
            <wp:docPr id="66" name="image66.png"/>
            <wp:cNvGraphicFramePr/>
            <a:graphic xmlns:a="http://schemas.openxmlformats.org/drawingml/2006/main">
              <a:graphicData uri="http://schemas.openxmlformats.org/drawingml/2006/picture">
                <pic:pic xmlns:pic="http://schemas.openxmlformats.org/drawingml/2006/picture">
                  <pic:nvPicPr>
                    <pic:cNvPr id="66" name="image66.png"/>
                    <pic:cNvPicPr preferRelativeResize="0"/>
                  </pic:nvPicPr>
                  <pic:blipFill>
                    <a:blip r:embed="rId11"/>
                    <a:srcRect/>
                    <a:stretch>
                      <a:fillRect/>
                    </a:stretch>
                  </pic:blipFill>
                  <pic:spPr>
                    <a:xfrm>
                      <a:off x="0" y="0"/>
                      <a:ext cx="941070" cy="64770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19050</wp:posOffset>
            </wp:positionH>
            <wp:positionV relativeFrom="paragraph">
              <wp:posOffset>2333625</wp:posOffset>
            </wp:positionV>
            <wp:extent cx="1343025" cy="428625"/>
            <wp:effectExtent l="0" t="0" r="0" b="0"/>
            <wp:wrapSquare wrapText="right"/>
            <wp:docPr id="65" name="image64.png"/>
            <wp:cNvGraphicFramePr/>
            <a:graphic xmlns:a="http://schemas.openxmlformats.org/drawingml/2006/main">
              <a:graphicData uri="http://schemas.openxmlformats.org/drawingml/2006/picture">
                <pic:pic xmlns:pic="http://schemas.openxmlformats.org/drawingml/2006/picture">
                  <pic:nvPicPr>
                    <pic:cNvPr id="65" name="image64.png"/>
                    <pic:cNvPicPr preferRelativeResize="0"/>
                  </pic:nvPicPr>
                  <pic:blipFill>
                    <a:blip r:embed="rId12"/>
                    <a:srcRect/>
                    <a:stretch>
                      <a:fillRect/>
                    </a:stretch>
                  </pic:blipFill>
                  <pic:spPr>
                    <a:xfrm>
                      <a:off x="0" y="0"/>
                      <a:ext cx="1343025" cy="428625"/>
                    </a:xfrm>
                    <a:prstGeom prst="rect">
                      <a:avLst/>
                    </a:prstGeom>
                  </pic:spPr>
                </pic:pic>
              </a:graphicData>
            </a:graphic>
          </wp:anchor>
        </w:drawing>
      </w:r>
      <w:r>
        <w:drawing>
          <wp:anchor distT="19050" distB="19050" distL="19050" distR="19050" simplePos="0" relativeHeight="251659264" behindDoc="0" locked="0" layoutInCell="1" allowOverlap="1">
            <wp:simplePos x="0" y="0"/>
            <wp:positionH relativeFrom="column">
              <wp:posOffset>4914900</wp:posOffset>
            </wp:positionH>
            <wp:positionV relativeFrom="paragraph">
              <wp:posOffset>2609850</wp:posOffset>
            </wp:positionV>
            <wp:extent cx="981075" cy="434340"/>
            <wp:effectExtent l="0" t="0" r="0" b="0"/>
            <wp:wrapSquare wrapText="left"/>
            <wp:docPr id="61" name="image43.png"/>
            <wp:cNvGraphicFramePr/>
            <a:graphic xmlns:a="http://schemas.openxmlformats.org/drawingml/2006/main">
              <a:graphicData uri="http://schemas.openxmlformats.org/drawingml/2006/picture">
                <pic:pic xmlns:pic="http://schemas.openxmlformats.org/drawingml/2006/picture">
                  <pic:nvPicPr>
                    <pic:cNvPr id="61" name="image43.png"/>
                    <pic:cNvPicPr preferRelativeResize="0"/>
                  </pic:nvPicPr>
                  <pic:blipFill>
                    <a:blip r:embed="rId13"/>
                    <a:srcRect/>
                    <a:stretch>
                      <a:fillRect/>
                    </a:stretch>
                  </pic:blipFill>
                  <pic:spPr>
                    <a:xfrm>
                      <a:off x="0" y="0"/>
                      <a:ext cx="981075" cy="434340"/>
                    </a:xfrm>
                    <a:prstGeom prst="rect">
                      <a:avLst/>
                    </a:prstGeom>
                  </pic:spPr>
                </pic:pic>
              </a:graphicData>
            </a:graphic>
          </wp:anchor>
        </w:drawing>
      </w:r>
      <w:r>
        <w:drawing>
          <wp:anchor distT="19050" distB="19050" distL="19050" distR="19050" simplePos="0" relativeHeight="251659264" behindDoc="0" locked="0" layoutInCell="1" allowOverlap="1">
            <wp:simplePos x="0" y="0"/>
            <wp:positionH relativeFrom="column">
              <wp:posOffset>-527050</wp:posOffset>
            </wp:positionH>
            <wp:positionV relativeFrom="paragraph">
              <wp:posOffset>17145</wp:posOffset>
            </wp:positionV>
            <wp:extent cx="6537960" cy="7505700"/>
            <wp:effectExtent l="0" t="0" r="0" b="0"/>
            <wp:wrapSquare wrapText="bothSides"/>
            <wp:docPr id="60" name="image65.png"/>
            <wp:cNvGraphicFramePr/>
            <a:graphic xmlns:a="http://schemas.openxmlformats.org/drawingml/2006/main">
              <a:graphicData uri="http://schemas.openxmlformats.org/drawingml/2006/picture">
                <pic:pic xmlns:pic="http://schemas.openxmlformats.org/drawingml/2006/picture">
                  <pic:nvPicPr>
                    <pic:cNvPr id="60" name="image65.png"/>
                    <pic:cNvPicPr preferRelativeResize="0"/>
                  </pic:nvPicPr>
                  <pic:blipFill>
                    <a:blip r:embed="rId14"/>
                    <a:srcRect/>
                    <a:stretch>
                      <a:fillRect/>
                    </a:stretch>
                  </pic:blipFill>
                  <pic:spPr>
                    <a:xfrm>
                      <a:off x="0" y="0"/>
                      <a:ext cx="6537960" cy="7505700"/>
                    </a:xfrm>
                    <a:prstGeom prst="rect">
                      <a:avLst/>
                    </a:prstGeom>
                  </pic:spPr>
                </pic:pic>
              </a:graphicData>
            </a:graphic>
          </wp:anchor>
        </w:drawing>
      </w:r>
    </w:p>
    <w:p w14:paraId="0000000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FFFF00"/>
          <w:sz w:val="36"/>
          <w:szCs w:val="36"/>
          <w:u w:val="none"/>
          <w:shd w:val="clear" w:fill="auto"/>
          <w:vertAlign w:val="baseline"/>
        </w:rPr>
      </w:pPr>
      <w:r>
        <w:rPr>
          <w:rFonts w:ascii="Times New Roman" w:hAnsi="Times New Roman" w:eastAsia="Times New Roman" w:cs="Times New Roman"/>
          <w:b/>
          <w:bCs/>
          <w:i w:val="0"/>
          <w:iCs w:val="0"/>
          <w:smallCaps w:val="0"/>
          <w:strike w:val="0"/>
          <w:color w:val="FFFF00"/>
          <w:sz w:val="36"/>
          <w:szCs w:val="36"/>
          <w:u w:val="none"/>
          <w:shd w:val="clear" w:fill="auto"/>
          <w:vertAlign w:val="baseline"/>
          <w:rtl w:val="0"/>
        </w:rPr>
        <w:t xml:space="preserve">Print ISSN 2222-7288 </w:t>
      </w:r>
    </w:p>
    <w:p w14:paraId="0000000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FFFF00"/>
          <w:sz w:val="36"/>
          <w:szCs w:val="36"/>
          <w:u w:val="none"/>
          <w:shd w:val="clear" w:fill="auto"/>
          <w:vertAlign w:val="baseline"/>
        </w:rPr>
      </w:pPr>
      <w:r>
        <w:rPr>
          <w:rFonts w:ascii="Times New Roman" w:hAnsi="Times New Roman" w:eastAsia="Times New Roman" w:cs="Times New Roman"/>
          <w:b/>
          <w:bCs/>
          <w:i w:val="0"/>
          <w:iCs w:val="0"/>
          <w:smallCaps w:val="0"/>
          <w:strike w:val="0"/>
          <w:color w:val="FFFF00"/>
          <w:sz w:val="36"/>
          <w:szCs w:val="36"/>
          <w:u w:val="none"/>
          <w:shd w:val="clear" w:fill="auto"/>
          <w:vertAlign w:val="baseline"/>
          <w:rtl w:val="0"/>
        </w:rPr>
        <w:t xml:space="preserve">Online ISSN 2518-5551 </w:t>
      </w:r>
    </w:p>
    <w:p w14:paraId="0000000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FFFFFF"/>
          <w:sz w:val="28"/>
          <w:szCs w:val="28"/>
          <w:u w:val="none"/>
          <w:shd w:val="clear" w:fill="auto"/>
          <w:vertAlign w:val="baseline"/>
        </w:rPr>
      </w:pPr>
      <w:r>
        <w:rPr>
          <w:rFonts w:ascii="Times New Roman" w:hAnsi="Times New Roman" w:eastAsia="Times New Roman" w:cs="Times New Roman"/>
          <w:b/>
          <w:bCs/>
          <w:i w:val="0"/>
          <w:iCs w:val="0"/>
          <w:smallCaps w:val="0"/>
          <w:strike w:val="0"/>
          <w:color w:val="FFFFFF"/>
          <w:sz w:val="28"/>
          <w:szCs w:val="28"/>
          <w:u w:val="none"/>
          <w:shd w:val="clear" w:fill="auto"/>
          <w:vertAlign w:val="baseline"/>
          <w:rtl w:val="0"/>
        </w:rPr>
        <w:t xml:space="preserve">IMPACT FACTOR VALUE OF 2.329 </w:t>
      </w:r>
    </w:p>
    <w:p w14:paraId="0000000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61" w:after="0" w:line="240" w:lineRule="auto"/>
        <w:ind w:left="0" w:right="1069" w:firstLine="0"/>
        <w:jc w:val="right"/>
        <w:rPr>
          <w:rFonts w:ascii="Times New Roman" w:hAnsi="Times New Roman" w:eastAsia="Times New Roman" w:cs="Times New Roman"/>
          <w:b/>
          <w:bCs/>
          <w:i w:val="0"/>
          <w:iCs w:val="0"/>
          <w:smallCaps w:val="0"/>
          <w:strike w:val="0"/>
          <w:color w:val="FFFFFF"/>
          <w:sz w:val="28"/>
          <w:szCs w:val="28"/>
          <w:u w:val="none"/>
          <w:shd w:val="clear" w:fill="auto"/>
          <w:vertAlign w:val="baseline"/>
        </w:rPr>
      </w:pP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149860" cy="69215"/>
            <wp:effectExtent l="0" t="0" r="0" b="0"/>
            <wp:docPr id="62" name="image68.png"/>
            <wp:cNvGraphicFramePr/>
            <a:graphic xmlns:a="http://schemas.openxmlformats.org/drawingml/2006/main">
              <a:graphicData uri="http://schemas.openxmlformats.org/drawingml/2006/picture">
                <pic:pic xmlns:pic="http://schemas.openxmlformats.org/drawingml/2006/picture">
                  <pic:nvPicPr>
                    <pic:cNvPr id="62" name="image68.png"/>
                    <pic:cNvPicPr preferRelativeResize="0"/>
                  </pic:nvPicPr>
                  <pic:blipFill>
                    <a:blip r:embed="rId15"/>
                    <a:srcRect/>
                    <a:stretch>
                      <a:fillRect/>
                    </a:stretch>
                  </pic:blipFill>
                  <pic:spPr>
                    <a:xfrm>
                      <a:off x="0" y="0"/>
                      <a:ext cx="150089" cy="69389"/>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104140" cy="78105"/>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27" name="image27.png"/>
                    <pic:cNvPicPr preferRelativeResize="0"/>
                  </pic:nvPicPr>
                  <pic:blipFill>
                    <a:blip r:embed="rId16"/>
                    <a:srcRect/>
                    <a:stretch>
                      <a:fillRect/>
                    </a:stretch>
                  </pic:blipFill>
                  <pic:spPr>
                    <a:xfrm>
                      <a:off x="0" y="0"/>
                      <a:ext cx="104361" cy="78528"/>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163195" cy="191135"/>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70" name="image71.png"/>
                    <pic:cNvPicPr preferRelativeResize="0"/>
                  </pic:nvPicPr>
                  <pic:blipFill>
                    <a:blip r:embed="rId17"/>
                    <a:srcRect/>
                    <a:stretch>
                      <a:fillRect/>
                    </a:stretch>
                  </pic:blipFill>
                  <pic:spPr>
                    <a:xfrm>
                      <a:off x="0" y="0"/>
                      <a:ext cx="163805" cy="191249"/>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1757680" cy="196850"/>
            <wp:effectExtent l="0" t="0" r="0" b="0"/>
            <wp:docPr id="72" name="image70.png"/>
            <wp:cNvGraphicFramePr/>
            <a:graphic xmlns:a="http://schemas.openxmlformats.org/drawingml/2006/main">
              <a:graphicData uri="http://schemas.openxmlformats.org/drawingml/2006/picture">
                <pic:pic xmlns:pic="http://schemas.openxmlformats.org/drawingml/2006/picture">
                  <pic:nvPicPr>
                    <pic:cNvPr id="72" name="image70.png"/>
                    <pic:cNvPicPr preferRelativeResize="0"/>
                  </pic:nvPicPr>
                  <pic:blipFill>
                    <a:blip r:embed="rId18"/>
                    <a:srcRect/>
                    <a:stretch>
                      <a:fillRect/>
                    </a:stretch>
                  </pic:blipFill>
                  <pic:spPr>
                    <a:xfrm>
                      <a:off x="0" y="0"/>
                      <a:ext cx="1757934" cy="197371"/>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1143635" cy="196850"/>
            <wp:effectExtent l="0" t="0" r="0" b="0"/>
            <wp:docPr id="73" name="image61.png"/>
            <wp:cNvGraphicFramePr/>
            <a:graphic xmlns:a="http://schemas.openxmlformats.org/drawingml/2006/main">
              <a:graphicData uri="http://schemas.openxmlformats.org/drawingml/2006/picture">
                <pic:pic xmlns:pic="http://schemas.openxmlformats.org/drawingml/2006/picture">
                  <pic:nvPicPr>
                    <pic:cNvPr id="73" name="image61.png"/>
                    <pic:cNvPicPr preferRelativeResize="0"/>
                  </pic:nvPicPr>
                  <pic:blipFill>
                    <a:blip r:embed="rId19"/>
                    <a:srcRect/>
                    <a:stretch>
                      <a:fillRect/>
                    </a:stretch>
                  </pic:blipFill>
                  <pic:spPr>
                    <a:xfrm>
                      <a:off x="0" y="0"/>
                      <a:ext cx="1143762" cy="197371"/>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577850" cy="196850"/>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32" name="image32.png"/>
                    <pic:cNvPicPr preferRelativeResize="0"/>
                  </pic:nvPicPr>
                  <pic:blipFill>
                    <a:blip r:embed="rId16"/>
                    <a:srcRect/>
                    <a:stretch>
                      <a:fillRect/>
                    </a:stretch>
                  </pic:blipFill>
                  <pic:spPr>
                    <a:xfrm>
                      <a:off x="0" y="0"/>
                      <a:ext cx="578358" cy="197371"/>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751840" cy="236855"/>
            <wp:effectExtent l="0" t="0" r="0" b="0"/>
            <wp:docPr id="71" name="image73.png"/>
            <wp:cNvGraphicFramePr/>
            <a:graphic xmlns:a="http://schemas.openxmlformats.org/drawingml/2006/main">
              <a:graphicData uri="http://schemas.openxmlformats.org/drawingml/2006/picture">
                <pic:pic xmlns:pic="http://schemas.openxmlformats.org/drawingml/2006/picture">
                  <pic:nvPicPr>
                    <pic:cNvPr id="71" name="image73.png"/>
                    <pic:cNvPicPr preferRelativeResize="0"/>
                  </pic:nvPicPr>
                  <pic:blipFill>
                    <a:blip r:embed="rId20"/>
                    <a:srcRect/>
                    <a:stretch>
                      <a:fillRect/>
                    </a:stretch>
                  </pic:blipFill>
                  <pic:spPr>
                    <a:xfrm>
                      <a:off x="0" y="0"/>
                      <a:ext cx="752094" cy="236969"/>
                    </a:xfrm>
                    <a:prstGeom prst="rect">
                      <a:avLst/>
                    </a:prstGeom>
                  </pic:spPr>
                </pic:pic>
              </a:graphicData>
            </a:graphic>
          </wp:inline>
        </w:drawing>
      </w:r>
      <w:r>
        <w:rPr>
          <w:rFonts w:ascii="Times New Roman" w:hAnsi="Times New Roman" w:eastAsia="Times New Roman" w:cs="Times New Roman"/>
          <w:b/>
          <w:bCs/>
          <w:i w:val="0"/>
          <w:iCs w:val="0"/>
          <w:smallCaps w:val="0"/>
          <w:strike w:val="0"/>
          <w:color w:val="FFFFFF"/>
          <w:sz w:val="28"/>
          <w:szCs w:val="28"/>
          <w:u w:val="none"/>
          <w:shd w:val="clear" w:fill="auto"/>
          <w:vertAlign w:val="baseline"/>
        </w:rPr>
        <w:drawing>
          <wp:inline distT="19050" distB="19050" distL="19050" distR="19050">
            <wp:extent cx="306705" cy="236855"/>
            <wp:effectExtent l="0" t="0" r="0" b="0"/>
            <wp:docPr id="74" name="image72.png"/>
            <wp:cNvGraphicFramePr/>
            <a:graphic xmlns:a="http://schemas.openxmlformats.org/drawingml/2006/main">
              <a:graphicData uri="http://schemas.openxmlformats.org/drawingml/2006/picture">
                <pic:pic xmlns:pic="http://schemas.openxmlformats.org/drawingml/2006/picture">
                  <pic:nvPicPr>
                    <pic:cNvPr id="74" name="image72.png"/>
                    <pic:cNvPicPr preferRelativeResize="0"/>
                  </pic:nvPicPr>
                  <pic:blipFill>
                    <a:blip r:embed="rId21"/>
                    <a:srcRect/>
                    <a:stretch>
                      <a:fillRect/>
                    </a:stretch>
                  </pic:blipFill>
                  <pic:spPr>
                    <a:xfrm>
                      <a:off x="0" y="0"/>
                      <a:ext cx="307099" cy="236969"/>
                    </a:xfrm>
                    <a:prstGeom prst="rect">
                      <a:avLst/>
                    </a:prstGeom>
                  </pic:spPr>
                </pic:pic>
              </a:graphicData>
            </a:graphic>
          </wp:inline>
        </w:drawing>
      </w:r>
    </w:p>
    <w:p w14:paraId="0000000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64" w:after="0" w:line="240" w:lineRule="auto"/>
        <w:ind w:left="0" w:right="1827" w:firstLine="0"/>
        <w:jc w:val="right"/>
        <w:rPr>
          <w:rFonts w:ascii="Arial" w:hAnsi="Arial" w:eastAsia="Arial" w:cs="Arial"/>
          <w:b w:val="0"/>
          <w:bCs w:val="0"/>
          <w:i w:val="0"/>
          <w:iCs w:val="0"/>
          <w:smallCaps w:val="0"/>
          <w:strike w:val="0"/>
          <w:color w:val="FFFF00"/>
          <w:sz w:val="19"/>
          <w:szCs w:val="19"/>
          <w:u w:val="none"/>
          <w:shd w:val="clear" w:fill="auto"/>
          <w:vertAlign w:val="baseline"/>
        </w:rPr>
      </w:pPr>
      <w:r>
        <w:rPr>
          <w:rFonts w:ascii="Arial" w:hAnsi="Arial" w:eastAsia="Arial" w:cs="Arial"/>
          <w:b w:val="0"/>
          <w:bCs w:val="0"/>
          <w:i w:val="0"/>
          <w:iCs w:val="0"/>
          <w:smallCaps w:val="0"/>
          <w:strike w:val="0"/>
          <w:color w:val="FFFF00"/>
          <w:sz w:val="19"/>
          <w:szCs w:val="19"/>
          <w:u w:val="none"/>
          <w:shd w:val="clear" w:fill="auto"/>
          <w:vertAlign w:val="baseline"/>
          <w:rtl w:val="0"/>
        </w:rPr>
        <w:t xml:space="preserve">LEGAL FRAMEWORKS, NATIONAL SECURITY, AND  </w:t>
      </w:r>
    </w:p>
    <w:p w14:paraId="0000000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0" w:after="0" w:line="240" w:lineRule="auto"/>
        <w:ind w:left="0" w:right="2010" w:firstLine="0"/>
        <w:jc w:val="right"/>
        <w:rPr>
          <w:rFonts w:ascii="Arial" w:hAnsi="Arial" w:eastAsia="Arial" w:cs="Arial"/>
          <w:b w:val="0"/>
          <w:bCs w:val="0"/>
          <w:i w:val="0"/>
          <w:iCs w:val="0"/>
          <w:smallCaps w:val="0"/>
          <w:strike w:val="0"/>
          <w:color w:val="FFFF00"/>
          <w:sz w:val="19"/>
          <w:szCs w:val="19"/>
          <w:u w:val="none"/>
          <w:shd w:val="clear" w:fill="auto"/>
          <w:vertAlign w:val="baseline"/>
        </w:rPr>
      </w:pPr>
      <w:r>
        <w:rPr>
          <w:rFonts w:ascii="Arial" w:hAnsi="Arial" w:eastAsia="Arial" w:cs="Arial"/>
          <w:b w:val="0"/>
          <w:bCs w:val="0"/>
          <w:i w:val="0"/>
          <w:iCs w:val="0"/>
          <w:smallCaps w:val="0"/>
          <w:strike w:val="0"/>
          <w:color w:val="FFFF00"/>
          <w:sz w:val="19"/>
          <w:szCs w:val="19"/>
          <w:u w:val="none"/>
          <w:shd w:val="clear" w:fill="auto"/>
          <w:vertAlign w:val="baseline"/>
          <w:rtl w:val="0"/>
        </w:rPr>
        <w:t>GOVERNANCE IN THE UKRAINIAN EXPERIENCE</w:t>
      </w:r>
    </w:p>
    <w:tbl>
      <w:tblPr>
        <w:tblStyle w:val="13"/>
        <w:tblW w:w="6707" w:type="dxa"/>
        <w:tblInd w:w="277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6707"/>
      </w:tblGrid>
      <w:tr w14:paraId="52F40D5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1445" w:hRule="atLeast"/>
        </w:trPr>
        <w:tc>
          <w:tcPr>
            <w:shd w:val="clear" w:color="auto" w:fill="auto"/>
            <w:tcMar>
              <w:top w:w="100" w:type="dxa"/>
              <w:left w:w="100" w:type="dxa"/>
              <w:bottom w:w="100" w:type="dxa"/>
              <w:right w:w="100" w:type="dxa"/>
            </w:tcMar>
            <w:vAlign w:val="top"/>
          </w:tcPr>
          <w:p w14:paraId="0000000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6" w:lineRule="auto"/>
              <w:ind w:left="135" w:right="32" w:hanging="3"/>
              <w:jc w:val="both"/>
              <w:rPr>
                <w:rFonts w:ascii="Arial" w:hAnsi="Arial" w:eastAsia="Arial" w:cs="Arial"/>
                <w:b/>
                <w:bCs/>
                <w:i w:val="0"/>
                <w:iCs w:val="0"/>
                <w:smallCaps w:val="0"/>
                <w:strike w:val="0"/>
                <w:color w:val="FFFFFF"/>
                <w:sz w:val="31"/>
                <w:szCs w:val="31"/>
                <w:u w:val="none"/>
                <w:shd w:val="clear" w:fill="auto"/>
                <w:vertAlign w:val="baseline"/>
              </w:rPr>
            </w:pPr>
            <w:r>
              <w:rPr>
                <w:rFonts w:ascii="Arial" w:hAnsi="Arial" w:eastAsia="Arial" w:cs="Arial"/>
                <w:b/>
                <w:bCs/>
                <w:i w:val="0"/>
                <w:iCs w:val="0"/>
                <w:smallCaps w:val="0"/>
                <w:strike w:val="0"/>
                <w:color w:val="FFFFFF"/>
                <w:sz w:val="31"/>
                <w:szCs w:val="31"/>
                <w:u w:val="none"/>
                <w:shd w:val="clear" w:fill="auto"/>
                <w:vertAlign w:val="baseline"/>
                <w:rtl w:val="0"/>
              </w:rPr>
              <w:t>5-Civic Engagement as a Driver of Political  Change in Post-Totalitarian States.</w:t>
            </w:r>
            <w:r>
              <w:rPr>
                <w:rFonts w:ascii="Arial" w:hAnsi="Arial" w:eastAsia="Arial" w:cs="Arial"/>
                <w:b/>
                <w:bCs/>
                <w:i w:val="0"/>
                <w:iCs w:val="0"/>
                <w:smallCaps w:val="0"/>
                <w:strike w:val="0"/>
                <w:color w:val="FFFFFF"/>
                <w:sz w:val="31"/>
                <w:szCs w:val="31"/>
                <w:highlight w:val="white"/>
                <w:u w:val="none"/>
                <w:vertAlign w:val="baseline"/>
                <w:rtl w:val="0"/>
              </w:rPr>
              <w:t xml:space="preserve"> </w:t>
            </w:r>
            <w:r>
              <w:rPr>
                <w:rFonts w:ascii="Arial" w:hAnsi="Arial" w:eastAsia="Arial" w:cs="Arial"/>
                <w:b/>
                <w:bCs/>
                <w:i w:val="0"/>
                <w:iCs w:val="0"/>
                <w:smallCaps w:val="0"/>
                <w:strike w:val="0"/>
                <w:color w:val="FFFFFF"/>
                <w:sz w:val="31"/>
                <w:szCs w:val="31"/>
                <w:u w:val="none"/>
                <w:shd w:val="clear" w:fill="auto"/>
                <w:vertAlign w:val="baseline"/>
                <w:rtl w:val="0"/>
              </w:rPr>
              <w:t>Vitalii  Kostenko and others. p. 104.</w:t>
            </w:r>
          </w:p>
        </w:tc>
      </w:tr>
    </w:tbl>
    <w:p w14:paraId="0000000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0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0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Arial" w:hAnsi="Arial" w:eastAsia="Arial" w:cs="Arial"/>
          <w:b w:val="0"/>
          <w:bCs w:val="0"/>
          <w:i w:val="0"/>
          <w:iCs w:val="0"/>
          <w:smallCaps w:val="0"/>
          <w:strike w:val="0"/>
          <w:color w:val="FFFFFF"/>
          <w:sz w:val="22"/>
          <w:szCs w:val="22"/>
          <w:u w:val="none"/>
          <w:shd w:val="clear" w:fill="auto"/>
          <w:vertAlign w:val="baseline"/>
        </w:rPr>
      </w:pPr>
      <w:r>
        <w:rPr>
          <w:rFonts w:ascii="Arial" w:hAnsi="Arial" w:eastAsia="Arial" w:cs="Arial"/>
          <w:b w:val="0"/>
          <w:bCs w:val="0"/>
          <w:i w:val="0"/>
          <w:iCs w:val="0"/>
          <w:smallCaps w:val="0"/>
          <w:strike w:val="0"/>
          <w:color w:val="FFFFFF"/>
          <w:sz w:val="22"/>
          <w:szCs w:val="22"/>
          <w:u w:val="none"/>
          <w:shd w:val="clear" w:fill="auto"/>
          <w:vertAlign w:val="baseline"/>
          <w:rtl w:val="0"/>
        </w:rPr>
        <w:t xml:space="preserve">AALBORG ACADEMY OF SCIENCES – DENMARK </w:t>
      </w:r>
    </w:p>
    <w:p w14:paraId="0000000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93" w:after="0" w:line="240" w:lineRule="auto"/>
        <w:ind w:left="0" w:right="0" w:firstLine="0"/>
        <w:jc w:val="center"/>
        <w:rPr>
          <w:rFonts w:ascii="Times New Roman" w:hAnsi="Times New Roman" w:eastAsia="Times New Roman" w:cs="Times New Roman"/>
          <w:b/>
          <w:bCs/>
          <w:i w:val="0"/>
          <w:iCs w:val="0"/>
          <w:smallCaps w:val="0"/>
          <w:strike w:val="0"/>
          <w:color w:val="BDD6EE"/>
          <w:sz w:val="31"/>
          <w:szCs w:val="31"/>
          <w:u w:val="single"/>
          <w:shd w:val="clear" w:fill="auto"/>
          <w:vertAlign w:val="baseline"/>
        </w:rPr>
      </w:pPr>
      <w:r>
        <w:rPr>
          <w:rFonts w:ascii="Times New Roman" w:hAnsi="Times New Roman" w:eastAsia="Times New Roman" w:cs="Times New Roman"/>
          <w:b/>
          <w:bCs/>
          <w:i w:val="0"/>
          <w:iCs w:val="0"/>
          <w:smallCaps w:val="0"/>
          <w:strike w:val="0"/>
          <w:color w:val="BDD6EE"/>
          <w:sz w:val="31"/>
          <w:szCs w:val="31"/>
          <w:u w:val="single"/>
          <w:shd w:val="clear" w:fill="auto"/>
          <w:vertAlign w:val="baseline"/>
          <w:rtl w:val="0"/>
        </w:rPr>
        <w:t xml:space="preserve">http://journal-law.com/ </w:t>
      </w:r>
    </w:p>
    <w:p w14:paraId="0000000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80" w:after="0" w:line="240" w:lineRule="auto"/>
        <w:ind w:left="0" w:right="0" w:firstLine="0"/>
        <w:jc w:val="center"/>
        <w:rPr>
          <w:rFonts w:ascii="Times New Roman" w:hAnsi="Times New Roman" w:eastAsia="Times New Roman" w:cs="Times New Roman"/>
          <w:b/>
          <w:bCs/>
          <w:i w:val="0"/>
          <w:iCs w:val="0"/>
          <w:smallCaps w:val="0"/>
          <w:strike w:val="0"/>
          <w:color w:val="BDD6EE"/>
          <w:sz w:val="31"/>
          <w:szCs w:val="31"/>
          <w:u w:val="single"/>
          <w:shd w:val="clear" w:fill="auto"/>
          <w:vertAlign w:val="baseline"/>
        </w:rPr>
      </w:pPr>
      <w:r>
        <w:rPr>
          <w:rFonts w:ascii="Times New Roman" w:hAnsi="Times New Roman" w:eastAsia="Times New Roman" w:cs="Times New Roman"/>
          <w:b/>
          <w:bCs/>
          <w:i w:val="0"/>
          <w:iCs w:val="0"/>
          <w:smallCaps w:val="0"/>
          <w:strike w:val="0"/>
          <w:color w:val="BDD6EE"/>
          <w:sz w:val="31"/>
          <w:szCs w:val="31"/>
          <w:u w:val="none"/>
          <w:shd w:val="clear" w:fill="auto"/>
          <w:vertAlign w:val="baseline"/>
          <w:rtl w:val="0"/>
        </w:rPr>
        <w:t>j</w:t>
      </w:r>
      <w:r>
        <w:rPr>
          <w:rFonts w:ascii="Times New Roman" w:hAnsi="Times New Roman" w:eastAsia="Times New Roman" w:cs="Times New Roman"/>
          <w:b/>
          <w:bCs/>
          <w:i w:val="0"/>
          <w:iCs w:val="0"/>
          <w:smallCaps w:val="0"/>
          <w:strike w:val="0"/>
          <w:color w:val="BDD6EE"/>
          <w:sz w:val="31"/>
          <w:szCs w:val="31"/>
          <w:u w:val="single"/>
          <w:shd w:val="clear" w:fill="auto"/>
          <w:vertAlign w:val="baseline"/>
          <w:rtl w:val="0"/>
        </w:rPr>
        <w:t xml:space="preserve">ournallaw1@yahoo.co </w:t>
      </w:r>
    </w:p>
    <w:p w14:paraId="0000000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039"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- 104 - </w:t>
      </w:r>
    </w:p>
    <w:p w14:paraId="0000000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39" name="image39.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37" name="image37.png"/>
            <wp:cNvGraphicFramePr/>
            <a:graphic xmlns:a="http://schemas.openxmlformats.org/drawingml/2006/main">
              <a:graphicData uri="http://schemas.openxmlformats.org/drawingml/2006/picture">
                <pic:pic xmlns:pic="http://schemas.openxmlformats.org/drawingml/2006/picture">
                  <pic:nvPicPr>
                    <pic:cNvPr id="37" name="image37.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1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65" w:after="0" w:line="240" w:lineRule="auto"/>
        <w:ind w:left="0" w:right="0" w:firstLine="0"/>
        <w:jc w:val="center"/>
        <w:rPr>
          <w:rFonts w:ascii="Times New Roman" w:hAnsi="Times New Roman" w:eastAsia="Times New Roman" w:cs="Times New Roman"/>
          <w:b/>
          <w:bCs/>
          <w:i w:val="0"/>
          <w:iCs w:val="0"/>
          <w:smallCaps w:val="0"/>
          <w:strike w:val="0"/>
          <w:color w:val="538135"/>
          <w:sz w:val="25"/>
          <w:szCs w:val="25"/>
          <w:u w:val="none"/>
          <w:shd w:val="clear" w:fill="auto"/>
          <w:vertAlign w:val="baseline"/>
        </w:rPr>
      </w:pPr>
      <w:r>
        <w:rPr>
          <w:rFonts w:ascii="Times New Roman" w:hAnsi="Times New Roman" w:eastAsia="Times New Roman" w:cs="Times New Roman"/>
          <w:b/>
          <w:bCs/>
          <w:i w:val="0"/>
          <w:iCs w:val="0"/>
          <w:smallCaps w:val="0"/>
          <w:strike w:val="0"/>
          <w:color w:val="538135"/>
          <w:sz w:val="31"/>
          <w:szCs w:val="31"/>
          <w:u w:val="none"/>
          <w:shd w:val="clear" w:fill="auto"/>
          <w:vertAlign w:val="baseline"/>
          <w:rtl w:val="0"/>
        </w:rPr>
        <w:t>S</w:t>
      </w:r>
      <w:r>
        <w:rPr>
          <w:rFonts w:ascii="Times New Roman" w:hAnsi="Times New Roman" w:eastAsia="Times New Roman" w:cs="Times New Roman"/>
          <w:b/>
          <w:bCs/>
          <w:i w:val="0"/>
          <w:iCs w:val="0"/>
          <w:smallCaps w:val="0"/>
          <w:strike w:val="0"/>
          <w:color w:val="538135"/>
          <w:sz w:val="25"/>
          <w:szCs w:val="25"/>
          <w:u w:val="none"/>
          <w:shd w:val="clear" w:fill="auto"/>
          <w:vertAlign w:val="baseline"/>
          <w:rtl w:val="0"/>
        </w:rPr>
        <w:t xml:space="preserve">CIENTIFIC AND </w:t>
      </w:r>
      <w:r>
        <w:rPr>
          <w:rFonts w:ascii="Times New Roman" w:hAnsi="Times New Roman" w:eastAsia="Times New Roman" w:cs="Times New Roman"/>
          <w:b/>
          <w:bCs/>
          <w:i w:val="0"/>
          <w:iCs w:val="0"/>
          <w:smallCaps w:val="0"/>
          <w:strike w:val="0"/>
          <w:color w:val="538135"/>
          <w:sz w:val="31"/>
          <w:szCs w:val="31"/>
          <w:u w:val="none"/>
          <w:shd w:val="clear" w:fill="auto"/>
          <w:vertAlign w:val="baseline"/>
          <w:rtl w:val="0"/>
        </w:rPr>
        <w:t>A</w:t>
      </w:r>
      <w:r>
        <w:rPr>
          <w:rFonts w:ascii="Times New Roman" w:hAnsi="Times New Roman" w:eastAsia="Times New Roman" w:cs="Times New Roman"/>
          <w:b/>
          <w:bCs/>
          <w:i w:val="0"/>
          <w:iCs w:val="0"/>
          <w:smallCaps w:val="0"/>
          <w:strike w:val="0"/>
          <w:color w:val="538135"/>
          <w:sz w:val="25"/>
          <w:szCs w:val="25"/>
          <w:u w:val="none"/>
          <w:shd w:val="clear" w:fill="auto"/>
          <w:vertAlign w:val="baseline"/>
          <w:rtl w:val="0"/>
        </w:rPr>
        <w:t xml:space="preserve">CADEMY </w:t>
      </w:r>
      <w:r>
        <w:rPr>
          <w:rFonts w:ascii="Times New Roman" w:hAnsi="Times New Roman" w:eastAsia="Times New Roman" w:cs="Times New Roman"/>
          <w:b/>
          <w:bCs/>
          <w:i w:val="0"/>
          <w:iCs w:val="0"/>
          <w:smallCaps w:val="0"/>
          <w:strike w:val="0"/>
          <w:color w:val="538135"/>
          <w:sz w:val="31"/>
          <w:szCs w:val="31"/>
          <w:u w:val="none"/>
          <w:shd w:val="clear" w:fill="auto"/>
          <w:vertAlign w:val="baseline"/>
          <w:rtl w:val="0"/>
        </w:rPr>
        <w:t>J</w:t>
      </w:r>
      <w:r>
        <w:rPr>
          <w:rFonts w:ascii="Times New Roman" w:hAnsi="Times New Roman" w:eastAsia="Times New Roman" w:cs="Times New Roman"/>
          <w:b/>
          <w:bCs/>
          <w:i w:val="0"/>
          <w:iCs w:val="0"/>
          <w:smallCaps w:val="0"/>
          <w:strike w:val="0"/>
          <w:color w:val="538135"/>
          <w:sz w:val="25"/>
          <w:szCs w:val="25"/>
          <w:u w:val="none"/>
          <w:shd w:val="clear" w:fill="auto"/>
          <w:vertAlign w:val="baseline"/>
          <w:rtl w:val="0"/>
        </w:rPr>
        <w:t xml:space="preserve">OURNAL </w:t>
      </w:r>
    </w:p>
    <w:p w14:paraId="0000001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99" w:after="0" w:line="240" w:lineRule="auto"/>
        <w:ind w:left="3349" w:right="0" w:firstLine="0"/>
        <w:jc w:val="left"/>
        <w:rPr>
          <w:rFonts w:ascii="Times New Roman" w:hAnsi="Times New Roman" w:eastAsia="Times New Roman" w:cs="Times New Roman"/>
          <w:b/>
          <w:bCs/>
          <w:i w:val="0"/>
          <w:iCs w:val="0"/>
          <w:smallCaps w:val="0"/>
          <w:strike w:val="0"/>
          <w:color w:val="FF0000"/>
          <w:sz w:val="31"/>
          <w:szCs w:val="31"/>
          <w:u w:val="none"/>
          <w:shd w:val="clear" w:fill="auto"/>
          <w:vertAlign w:val="baseline"/>
        </w:rPr>
      </w:pPr>
      <w:r>
        <w:rPr>
          <w:rFonts w:ascii="Times New Roman" w:hAnsi="Times New Roman" w:eastAsia="Times New Roman" w:cs="Times New Roman"/>
          <w:b/>
          <w:bCs/>
          <w:i w:val="0"/>
          <w:iCs w:val="0"/>
          <w:smallCaps w:val="0"/>
          <w:strike w:val="0"/>
          <w:color w:val="FF0000"/>
          <w:sz w:val="31"/>
          <w:szCs w:val="31"/>
          <w:u w:val="none"/>
          <w:shd w:val="clear" w:fill="auto"/>
          <w:vertAlign w:val="baseline"/>
          <w:rtl w:val="0"/>
        </w:rPr>
        <w:t xml:space="preserve">Print ISSN 2222-7288 </w:t>
      </w:r>
    </w:p>
    <w:p w14:paraId="0000001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99" w:after="0" w:line="240" w:lineRule="auto"/>
        <w:ind w:left="0" w:right="0" w:firstLine="0"/>
        <w:jc w:val="center"/>
        <w:rPr>
          <w:rFonts w:ascii="Times New Roman" w:hAnsi="Times New Roman" w:eastAsia="Times New Roman" w:cs="Times New Roman"/>
          <w:b/>
          <w:bCs/>
          <w:i w:val="0"/>
          <w:iCs w:val="0"/>
          <w:smallCaps w:val="0"/>
          <w:strike w:val="0"/>
          <w:color w:val="FF0000"/>
          <w:sz w:val="31"/>
          <w:szCs w:val="31"/>
          <w:u w:val="none"/>
          <w:shd w:val="clear" w:fill="auto"/>
          <w:vertAlign w:val="baseline"/>
        </w:rPr>
      </w:pPr>
      <w:r>
        <w:rPr>
          <w:rFonts w:ascii="Times New Roman" w:hAnsi="Times New Roman" w:eastAsia="Times New Roman" w:cs="Times New Roman"/>
          <w:b/>
          <w:bCs/>
          <w:i w:val="0"/>
          <w:iCs w:val="0"/>
          <w:smallCaps w:val="0"/>
          <w:strike w:val="0"/>
          <w:color w:val="FF0000"/>
          <w:sz w:val="31"/>
          <w:szCs w:val="31"/>
          <w:u w:val="none"/>
          <w:shd w:val="clear" w:fill="auto"/>
          <w:vertAlign w:val="baseline"/>
          <w:rtl w:val="0"/>
        </w:rPr>
        <w:t xml:space="preserve">Online ISSN 2518-5551 </w:t>
      </w:r>
    </w:p>
    <w:p w14:paraId="0000001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80" w:after="0" w:line="240" w:lineRule="auto"/>
        <w:ind w:left="0" w:right="0" w:firstLine="0"/>
        <w:jc w:val="center"/>
        <w:rPr>
          <w:rFonts w:ascii="Times New Roman" w:hAnsi="Times New Roman" w:eastAsia="Times New Roman" w:cs="Times New Roman"/>
          <w:b/>
          <w:bCs/>
          <w:i w:val="0"/>
          <w:iCs w:val="0"/>
          <w:smallCaps w:val="0"/>
          <w:strike w:val="0"/>
          <w:color w:val="FF0000"/>
          <w:sz w:val="31"/>
          <w:szCs w:val="31"/>
          <w:u w:val="none"/>
          <w:shd w:val="clear" w:fill="auto"/>
          <w:vertAlign w:val="baseline"/>
        </w:rPr>
      </w:pPr>
      <w:r>
        <w:rPr>
          <w:rFonts w:ascii="Times New Roman" w:hAnsi="Times New Roman" w:eastAsia="Times New Roman" w:cs="Times New Roman"/>
          <w:b/>
          <w:bCs/>
          <w:i w:val="0"/>
          <w:iCs w:val="0"/>
          <w:smallCaps w:val="0"/>
          <w:strike w:val="0"/>
          <w:color w:val="000000"/>
          <w:sz w:val="31"/>
          <w:szCs w:val="31"/>
          <w:u w:val="none"/>
          <w:shd w:val="clear" w:fill="auto"/>
          <w:vertAlign w:val="baseline"/>
          <w:rtl w:val="0"/>
        </w:rPr>
        <w:t xml:space="preserve">IMPACT FACTOR VALUE OF </w:t>
      </w:r>
      <w:r>
        <w:rPr>
          <w:rFonts w:ascii="Times New Roman" w:hAnsi="Times New Roman" w:eastAsia="Times New Roman" w:cs="Times New Roman"/>
          <w:b/>
          <w:bCs/>
          <w:i w:val="0"/>
          <w:iCs w:val="0"/>
          <w:smallCaps w:val="0"/>
          <w:strike w:val="0"/>
          <w:color w:val="FF0000"/>
          <w:sz w:val="31"/>
          <w:szCs w:val="31"/>
          <w:u w:val="none"/>
          <w:shd w:val="clear" w:fill="auto"/>
          <w:vertAlign w:val="baseline"/>
          <w:rtl w:val="0"/>
        </w:rPr>
        <w:t xml:space="preserve">2.701 </w:t>
      </w:r>
    </w:p>
    <w:p w14:paraId="0000001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81" w:after="0" w:line="240" w:lineRule="auto"/>
        <w:ind w:left="0" w:right="0" w:firstLine="0"/>
        <w:jc w:val="center"/>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VOL. (47/2) SPECIAL ISSUE OCTOBER 2025 </w:t>
      </w:r>
    </w:p>
    <w:p w14:paraId="0000001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54" w:after="0" w:line="240" w:lineRule="auto"/>
        <w:ind w:left="0" w:right="0" w:firstLine="0"/>
        <w:jc w:val="center"/>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FIRST EDITION 2011 </w:t>
      </w:r>
    </w:p>
    <w:p w14:paraId="0000001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57" w:after="0" w:line="240" w:lineRule="auto"/>
        <w:ind w:left="0" w:right="0" w:firstLine="0"/>
        <w:jc w:val="center"/>
        <w:rPr>
          <w:rFonts w:ascii="Times New Roman" w:hAnsi="Times New Roman" w:eastAsia="Times New Roman" w:cs="Times New Roman"/>
          <w:b/>
          <w:bCs/>
          <w:i w:val="0"/>
          <w:iCs w:val="0"/>
          <w:smallCaps w:val="0"/>
          <w:strike w:val="0"/>
          <w:color w:val="EE0000"/>
          <w:sz w:val="28"/>
          <w:szCs w:val="28"/>
          <w:u w:val="none"/>
          <w:shd w:val="clear" w:fill="auto"/>
          <w:vertAlign w:val="baseline"/>
        </w:rPr>
      </w:pPr>
      <w:r>
        <w:rPr>
          <w:rFonts w:ascii="Times New Roman" w:hAnsi="Times New Roman" w:eastAsia="Times New Roman" w:cs="Times New Roman"/>
          <w:b/>
          <w:bCs/>
          <w:i w:val="0"/>
          <w:iCs w:val="0"/>
          <w:smallCaps w:val="0"/>
          <w:strike w:val="0"/>
          <w:color w:val="EE0000"/>
          <w:sz w:val="28"/>
          <w:szCs w:val="28"/>
          <w:u w:val="none"/>
          <w:shd w:val="clear" w:fill="auto"/>
          <w:vertAlign w:val="baseline"/>
          <w:rtl w:val="0"/>
        </w:rPr>
        <w:t xml:space="preserve">SPECIAL ISSUE </w:t>
      </w:r>
    </w:p>
    <w:p w14:paraId="0000001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05" w:after="0" w:line="264" w:lineRule="auto"/>
        <w:ind w:left="1632" w:right="1620" w:firstLine="0"/>
        <w:jc w:val="center"/>
        <w:rPr>
          <w:rFonts w:ascii="Times New Roman" w:hAnsi="Times New Roman" w:eastAsia="Times New Roman" w:cs="Times New Roman"/>
          <w:b/>
          <w:bCs/>
          <w:i w:val="0"/>
          <w:iCs w:val="0"/>
          <w:smallCaps w:val="0"/>
          <w:strike w:val="0"/>
          <w:color w:val="2F5496"/>
          <w:sz w:val="28"/>
          <w:szCs w:val="28"/>
          <w:u w:val="none"/>
          <w:shd w:val="clear" w:fill="auto"/>
          <w:vertAlign w:val="baseline"/>
        </w:rPr>
      </w:pPr>
      <w:r>
        <w:rPr>
          <w:rFonts w:ascii="Times New Roman" w:hAnsi="Times New Roman" w:eastAsia="Times New Roman" w:cs="Times New Roman"/>
          <w:b/>
          <w:bCs/>
          <w:i w:val="0"/>
          <w:iCs w:val="0"/>
          <w:smallCaps w:val="0"/>
          <w:strike w:val="0"/>
          <w:color w:val="2F5496"/>
          <w:sz w:val="28"/>
          <w:szCs w:val="28"/>
          <w:u w:val="none"/>
          <w:shd w:val="clear" w:fill="auto"/>
          <w:vertAlign w:val="baseline"/>
          <w:rtl w:val="0"/>
        </w:rPr>
        <w:t xml:space="preserve">LEGAL FRAMEWORKS, NATIONAL SECURITY, AND  GOVERNANCE IN THE UKRAINIAN EXPERIENCE </w:t>
      </w:r>
    </w:p>
    <w:p w14:paraId="0000001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6" w:after="0" w:line="343" w:lineRule="auto"/>
        <w:ind w:left="1567" w:right="1555" w:firstLine="0"/>
        <w:jc w:val="center"/>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A GROUP OF UNIVERSITY GRADUATES IN UKRAINE  PREPARED </w:t>
      </w:r>
    </w:p>
    <w:p w14:paraId="0000001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003" w:after="0" w:line="342" w:lineRule="auto"/>
        <w:ind w:left="1427" w:right="1483" w:firstLine="0"/>
        <w:jc w:val="center"/>
        <w:rPr>
          <w:rFonts w:ascii="Times New Roman" w:hAnsi="Times New Roman" w:eastAsia="Times New Roman" w:cs="Times New Roman"/>
          <w:b/>
          <w:bCs/>
          <w:i w:val="0"/>
          <w:iCs w:val="0"/>
          <w:smallCaps w:val="0"/>
          <w:strike w:val="0"/>
          <w:color w:val="0000FF"/>
          <w:sz w:val="31"/>
          <w:szCs w:val="31"/>
          <w:u w:val="single"/>
          <w:shd w:val="clear" w:fill="auto"/>
          <w:vertAlign w:val="baseline"/>
        </w:rPr>
      </w:pPr>
      <w:r>
        <w:rPr>
          <w:rFonts w:ascii="Times New Roman" w:hAnsi="Times New Roman" w:eastAsia="Times New Roman" w:cs="Times New Roman"/>
          <w:b/>
          <w:bCs/>
          <w:i w:val="0"/>
          <w:iCs w:val="0"/>
          <w:smallCaps w:val="0"/>
          <w:strike w:val="0"/>
          <w:color w:val="002060"/>
          <w:sz w:val="24"/>
          <w:szCs w:val="24"/>
          <w:u w:val="none"/>
          <w:shd w:val="clear" w:fill="auto"/>
          <w:vertAlign w:val="baseline"/>
          <w:rtl w:val="0"/>
        </w:rPr>
        <w:t xml:space="preserve">CENTER FOR LAW AND POLITICAL RESEARCH – DENMARK FACULTY OF LAW - ACADEMY OF THE AALBORG – DENMARK </w:t>
      </w:r>
      <w:r>
        <w:rPr>
          <w:rFonts w:ascii="Times New Roman" w:hAnsi="Times New Roman" w:eastAsia="Times New Roman" w:cs="Times New Roman"/>
          <w:b/>
          <w:bCs/>
          <w:i w:val="0"/>
          <w:iCs w:val="0"/>
          <w:smallCaps w:val="0"/>
          <w:strike w:val="0"/>
          <w:color w:val="0000FF"/>
          <w:sz w:val="31"/>
          <w:szCs w:val="31"/>
          <w:u w:val="single"/>
          <w:shd w:val="clear" w:fill="auto"/>
          <w:vertAlign w:val="baseline"/>
          <w:rtl w:val="0"/>
        </w:rPr>
        <w:t xml:space="preserve">http://journal-law.com/ </w:t>
      </w:r>
    </w:p>
    <w:p w14:paraId="0000001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9" w:after="0" w:line="240" w:lineRule="auto"/>
        <w:ind w:left="3520" w:right="0" w:firstLine="0"/>
        <w:jc w:val="left"/>
        <w:rPr>
          <w:rFonts w:ascii="Times New Roman" w:hAnsi="Times New Roman" w:eastAsia="Times New Roman" w:cs="Times New Roman"/>
          <w:b/>
          <w:bCs/>
          <w:i w:val="0"/>
          <w:iCs w:val="0"/>
          <w:smallCaps w:val="0"/>
          <w:strike w:val="0"/>
          <w:color w:val="0000FF"/>
          <w:sz w:val="31"/>
          <w:szCs w:val="31"/>
          <w:u w:val="single"/>
          <w:shd w:val="clear" w:fill="auto"/>
          <w:vertAlign w:val="baseline"/>
        </w:rPr>
      </w:pPr>
      <w:r>
        <w:rPr>
          <w:rFonts w:ascii="Times New Roman" w:hAnsi="Times New Roman" w:eastAsia="Times New Roman" w:cs="Times New Roman"/>
          <w:b/>
          <w:bCs/>
          <w:i w:val="0"/>
          <w:iCs w:val="0"/>
          <w:smallCaps w:val="0"/>
          <w:strike w:val="0"/>
          <w:color w:val="0000FF"/>
          <w:sz w:val="31"/>
          <w:szCs w:val="31"/>
          <w:u w:val="none"/>
          <w:shd w:val="clear" w:fill="auto"/>
          <w:vertAlign w:val="baseline"/>
          <w:rtl w:val="0"/>
        </w:rPr>
        <w:t>j</w:t>
      </w:r>
      <w:r>
        <w:rPr>
          <w:rFonts w:ascii="Times New Roman" w:hAnsi="Times New Roman" w:eastAsia="Times New Roman" w:cs="Times New Roman"/>
          <w:b/>
          <w:bCs/>
          <w:i w:val="0"/>
          <w:iCs w:val="0"/>
          <w:smallCaps w:val="0"/>
          <w:strike w:val="0"/>
          <w:color w:val="0000FF"/>
          <w:sz w:val="31"/>
          <w:szCs w:val="31"/>
          <w:u w:val="single"/>
          <w:shd w:val="clear" w:fill="auto"/>
          <w:vertAlign w:val="baseline"/>
          <w:rtl w:val="0"/>
        </w:rPr>
        <w:t>ournallaw1@yahoo.co</w:t>
      </w:r>
    </w:p>
    <w:p w14:paraId="0000001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28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- 105 - </w:t>
      </w:r>
    </w:p>
    <w:p w14:paraId="0000001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5" w:lineRule="auto"/>
        <w:ind w:left="215" w:right="50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38" name="image38.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88685" cy="6857365"/>
            <wp:effectExtent l="0" t="0" r="0" b="0"/>
            <wp:docPr id="48" name="image49.png"/>
            <wp:cNvGraphicFramePr/>
            <a:graphic xmlns:a="http://schemas.openxmlformats.org/drawingml/2006/main">
              <a:graphicData uri="http://schemas.openxmlformats.org/drawingml/2006/picture">
                <pic:pic xmlns:pic="http://schemas.openxmlformats.org/drawingml/2006/picture">
                  <pic:nvPicPr>
                    <pic:cNvPr id="48" name="image49.png"/>
                    <pic:cNvPicPr preferRelativeResize="0"/>
                  </pic:nvPicPr>
                  <pic:blipFill>
                    <a:blip r:embed="rId16"/>
                    <a:srcRect/>
                    <a:stretch>
                      <a:fillRect/>
                    </a:stretch>
                  </pic:blipFill>
                  <pic:spPr>
                    <a:xfrm>
                      <a:off x="0" y="0"/>
                      <a:ext cx="5988812" cy="68573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287010" cy="6990715"/>
            <wp:effectExtent l="0" t="0" r="0" b="0"/>
            <wp:docPr id="43" name="image44.png"/>
            <wp:cNvGraphicFramePr/>
            <a:graphic xmlns:a="http://schemas.openxmlformats.org/drawingml/2006/main">
              <a:graphicData uri="http://schemas.openxmlformats.org/drawingml/2006/picture">
                <pic:pic xmlns:pic="http://schemas.openxmlformats.org/drawingml/2006/picture">
                  <pic:nvPicPr>
                    <pic:cNvPr id="43" name="image44.png"/>
                    <pic:cNvPicPr preferRelativeResize="0"/>
                  </pic:nvPicPr>
                  <pic:blipFill>
                    <a:blip r:embed="rId16"/>
                    <a:srcRect/>
                    <a:stretch>
                      <a:fillRect/>
                    </a:stretch>
                  </pic:blipFill>
                  <pic:spPr>
                    <a:xfrm>
                      <a:off x="0" y="0"/>
                      <a:ext cx="5287010" cy="6990715"/>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- 106 -</w:t>
      </w:r>
    </w:p>
    <w:p w14:paraId="0000001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3" w:lineRule="auto"/>
        <w:ind w:left="215" w:right="50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45" name="image46.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88685" cy="6857365"/>
            <wp:effectExtent l="0" t="0" r="0" b="0"/>
            <wp:docPr id="53" name="image54.png"/>
            <wp:cNvGraphicFramePr/>
            <a:graphic xmlns:a="http://schemas.openxmlformats.org/drawingml/2006/main">
              <a:graphicData uri="http://schemas.openxmlformats.org/drawingml/2006/picture">
                <pic:pic xmlns:pic="http://schemas.openxmlformats.org/drawingml/2006/picture">
                  <pic:nvPicPr>
                    <pic:cNvPr id="53" name="image54.png"/>
                    <pic:cNvPicPr preferRelativeResize="0"/>
                  </pic:nvPicPr>
                  <pic:blipFill>
                    <a:blip r:embed="rId16"/>
                    <a:srcRect/>
                    <a:stretch>
                      <a:fillRect/>
                    </a:stretch>
                  </pic:blipFill>
                  <pic:spPr>
                    <a:xfrm>
                      <a:off x="0" y="0"/>
                      <a:ext cx="5988812" cy="68573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278120" cy="7059295"/>
            <wp:effectExtent l="0" t="0" r="0" b="0"/>
            <wp:docPr id="55" name="image56.png"/>
            <wp:cNvGraphicFramePr/>
            <a:graphic xmlns:a="http://schemas.openxmlformats.org/drawingml/2006/main">
              <a:graphicData uri="http://schemas.openxmlformats.org/drawingml/2006/picture">
                <pic:pic xmlns:pic="http://schemas.openxmlformats.org/drawingml/2006/picture">
                  <pic:nvPicPr>
                    <pic:cNvPr id="55" name="image56.png"/>
                    <pic:cNvPicPr preferRelativeResize="0"/>
                  </pic:nvPicPr>
                  <pic:blipFill>
                    <a:blip r:embed="rId16"/>
                    <a:srcRect/>
                    <a:stretch>
                      <a:fillRect/>
                    </a:stretch>
                  </pic:blipFill>
                  <pic:spPr>
                    <a:xfrm>
                      <a:off x="0" y="0"/>
                      <a:ext cx="5278120" cy="705955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- 107 -</w:t>
      </w:r>
    </w:p>
    <w:p w14:paraId="0000001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8" w:lineRule="auto"/>
        <w:ind w:left="215" w:right="50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50" name="image51.png"/>
            <wp:cNvGraphicFramePr/>
            <a:graphic xmlns:a="http://schemas.openxmlformats.org/drawingml/2006/main">
              <a:graphicData uri="http://schemas.openxmlformats.org/drawingml/2006/picture">
                <pic:pic xmlns:pic="http://schemas.openxmlformats.org/drawingml/2006/picture">
                  <pic:nvPicPr>
                    <pic:cNvPr id="50" name="image51.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88685" cy="6857365"/>
            <wp:effectExtent l="0" t="0" r="0" b="0"/>
            <wp:docPr id="52" name="image53.png"/>
            <wp:cNvGraphicFramePr/>
            <a:graphic xmlns:a="http://schemas.openxmlformats.org/drawingml/2006/main">
              <a:graphicData uri="http://schemas.openxmlformats.org/drawingml/2006/picture">
                <pic:pic xmlns:pic="http://schemas.openxmlformats.org/drawingml/2006/picture">
                  <pic:nvPicPr>
                    <pic:cNvPr id="52" name="image53.png"/>
                    <pic:cNvPicPr preferRelativeResize="0"/>
                  </pic:nvPicPr>
                  <pic:blipFill>
                    <a:blip r:embed="rId16"/>
                    <a:srcRect/>
                    <a:stretch>
                      <a:fillRect/>
                    </a:stretch>
                  </pic:blipFill>
                  <pic:spPr>
                    <a:xfrm>
                      <a:off x="0" y="0"/>
                      <a:ext cx="5988812" cy="68573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771515" cy="7245350"/>
            <wp:effectExtent l="0" t="0" r="0" b="0"/>
            <wp:docPr id="58" name="image59.png"/>
            <wp:cNvGraphicFramePr/>
            <a:graphic xmlns:a="http://schemas.openxmlformats.org/drawingml/2006/main">
              <a:graphicData uri="http://schemas.openxmlformats.org/drawingml/2006/picture">
                <pic:pic xmlns:pic="http://schemas.openxmlformats.org/drawingml/2006/picture">
                  <pic:nvPicPr>
                    <pic:cNvPr id="58" name="image59.png"/>
                    <pic:cNvPicPr preferRelativeResize="0"/>
                  </pic:nvPicPr>
                  <pic:blipFill>
                    <a:blip r:embed="rId16"/>
                    <a:srcRect/>
                    <a:stretch>
                      <a:fillRect/>
                    </a:stretch>
                  </pic:blipFill>
                  <pic:spPr>
                    <a:xfrm>
                      <a:off x="0" y="0"/>
                      <a:ext cx="5771515" cy="7245604"/>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- 108 -</w:t>
      </w:r>
    </w:p>
    <w:p w14:paraId="0000001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6" w:lineRule="auto"/>
        <w:ind w:left="215" w:right="50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59" name="image60.png"/>
            <wp:cNvGraphicFramePr/>
            <a:graphic xmlns:a="http://schemas.openxmlformats.org/drawingml/2006/main">
              <a:graphicData uri="http://schemas.openxmlformats.org/drawingml/2006/picture">
                <pic:pic xmlns:pic="http://schemas.openxmlformats.org/drawingml/2006/picture">
                  <pic:nvPicPr>
                    <pic:cNvPr id="59" name="image60.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88685" cy="6857365"/>
            <wp:effectExtent l="0" t="0" r="0" b="0"/>
            <wp:docPr id="57" name="image58.png"/>
            <wp:cNvGraphicFramePr/>
            <a:graphic xmlns:a="http://schemas.openxmlformats.org/drawingml/2006/main">
              <a:graphicData uri="http://schemas.openxmlformats.org/drawingml/2006/picture">
                <pic:pic xmlns:pic="http://schemas.openxmlformats.org/drawingml/2006/picture">
                  <pic:nvPicPr>
                    <pic:cNvPr id="57" name="image58.png"/>
                    <pic:cNvPicPr preferRelativeResize="0"/>
                  </pic:nvPicPr>
                  <pic:blipFill>
                    <a:blip r:embed="rId16"/>
                    <a:srcRect/>
                    <a:stretch>
                      <a:fillRect/>
                    </a:stretch>
                  </pic:blipFill>
                  <pic:spPr>
                    <a:xfrm>
                      <a:off x="0" y="0"/>
                      <a:ext cx="5988812" cy="68573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330190" cy="7289165"/>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7" name="image7.png"/>
                    <pic:cNvPicPr preferRelativeResize="0"/>
                  </pic:nvPicPr>
                  <pic:blipFill>
                    <a:blip r:embed="rId16"/>
                    <a:srcRect/>
                    <a:stretch>
                      <a:fillRect/>
                    </a:stretch>
                  </pic:blipFill>
                  <pic:spPr>
                    <a:xfrm>
                      <a:off x="0" y="0"/>
                      <a:ext cx="5330698" cy="72891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- 109 -</w:t>
      </w:r>
    </w:p>
    <w:p w14:paraId="0000002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0" w:lineRule="auto"/>
        <w:ind w:left="151" w:right="463"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8" name="image8.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88685" cy="685736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5" name="image5.png"/>
                    <pic:cNvPicPr preferRelativeResize="0"/>
                  </pic:nvPicPr>
                  <pic:blipFill>
                    <a:blip r:embed="rId16"/>
                    <a:srcRect/>
                    <a:stretch>
                      <a:fillRect/>
                    </a:stretch>
                  </pic:blipFill>
                  <pic:spPr>
                    <a:xfrm>
                      <a:off x="0" y="0"/>
                      <a:ext cx="5988812" cy="6857366"/>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6142990" cy="7499985"/>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6" name="image6.png"/>
                    <pic:cNvPicPr preferRelativeResize="0"/>
                  </pic:nvPicPr>
                  <pic:blipFill>
                    <a:blip r:embed="rId16"/>
                    <a:srcRect/>
                    <a:stretch>
                      <a:fillRect/>
                    </a:stretch>
                  </pic:blipFill>
                  <pic:spPr>
                    <a:xfrm>
                      <a:off x="0" y="0"/>
                      <a:ext cx="6143244" cy="7499985"/>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- 110 -</w:t>
      </w:r>
    </w:p>
    <w:p w14:paraId="0000002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2" w:lineRule="auto"/>
        <w:ind w:left="435" w:right="506" w:firstLine="0"/>
        <w:jc w:val="center"/>
        <w:rPr>
          <w:rFonts w:ascii="Times New Roman" w:hAnsi="Times New Roman" w:eastAsia="Times New Roman" w:cs="Times New Roman"/>
          <w:b/>
          <w:bCs/>
          <w:i w:val="0"/>
          <w:iCs w:val="0"/>
          <w:smallCaps w:val="0"/>
          <w:strike w:val="0"/>
          <w:color w:val="000000"/>
          <w:sz w:val="31"/>
          <w:szCs w:val="31"/>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11" name="image11.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bCs/>
          <w:i w:val="0"/>
          <w:iCs w:val="0"/>
          <w:smallCaps w:val="0"/>
          <w:strike w:val="0"/>
          <w:color w:val="000000"/>
          <w:sz w:val="31"/>
          <w:szCs w:val="31"/>
          <w:u w:val="none"/>
          <w:shd w:val="clear" w:fill="auto"/>
          <w:vertAlign w:val="baseline"/>
          <w:rtl w:val="0"/>
        </w:rPr>
        <w:t xml:space="preserve">Contents of Vol. No. (47/2) of Issue October-2025 </w:t>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12" name="image12.png"/>
            <wp:cNvGraphicFramePr/>
            <a:graphic xmlns:a="http://schemas.openxmlformats.org/drawingml/2006/main">
              <a:graphicData uri="http://schemas.openxmlformats.org/drawingml/2006/picture">
                <pic:pic xmlns:pic="http://schemas.openxmlformats.org/drawingml/2006/picture">
                  <pic:nvPicPr>
                    <pic:cNvPr id="12" name="image12.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2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1585" w:right="920" w:hanging="348"/>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 International Security Cooperation of Ukraine in The Face of The Russian Ukrainian War: Factors of Historical and Legal Aspects. By Yurii Rusnak and others. p. 10. </w:t>
      </w:r>
    </w:p>
    <w:p w14:paraId="0000002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6" w:right="860" w:hanging="360"/>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2- Global Strategic Rivalry and the Secure Architecture: Nato's Influence on  The Formation of The International Peace, By Yevhenii Taran. and others.  p. 30. </w:t>
      </w:r>
    </w:p>
    <w:p w14:paraId="0000002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7" w:lineRule="auto"/>
        <w:ind w:left="1589" w:right="861" w:hanging="363"/>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3- Multipolarity of the Global Space: Strategic Understanding of Geopolitical  Trends. By Viacheslav Kolotov and others. p. 55. </w:t>
      </w:r>
    </w:p>
    <w:p w14:paraId="0000002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 w:after="0" w:line="229" w:lineRule="auto"/>
        <w:ind w:left="1585" w:right="860" w:hanging="359"/>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4- Mechanisms for Restoring Violated Rights to Intellectual Products: Law  Enforcement Difficulties in Ukraine. By Viktoriia Kobko-Odarii and  others. p. 82. </w:t>
      </w:r>
    </w:p>
    <w:p w14:paraId="0000002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90" w:right="861" w:hanging="363"/>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5- Civic Engagement as a Driver of Political Change in Post-Totalitarian  States.</w:t>
      </w:r>
      <w:r>
        <w:rPr>
          <w:rFonts w:ascii="Times New Roman" w:hAnsi="Times New Roman" w:eastAsia="Times New Roman" w:cs="Times New Roman"/>
          <w:b/>
          <w:bCs/>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Vitalii Kostenko and others. p. 104. </w:t>
      </w:r>
    </w:p>
    <w:p w14:paraId="0000002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226" w:right="860" w:firstLine="2"/>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6- International Humanitarian Law Implications During the War in Ukraine:  Problems and Violations. By Oleksandr Khomenko and others. p. 123.  7- Russian-Ukrainian War's Geopolitical Consequences for Eastern Europe.  By Vira Kazymir and others. p. 138. </w:t>
      </w:r>
    </w:p>
    <w:p w14:paraId="0000002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228" w:right="861" w:firstLine="0"/>
        <w:jc w:val="center"/>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8- Constitutional Rights and Freedoms of Citizens: Problems of Protection  And Implementation In Ukraine. By Denys Chyzhov . And others. P. 154. 9- Criminal Liability for Economic Crimes: Issues of Legal Qualification And  Application In Practice. By Volodymyr Myslyvyy and others. p. 176. </w:t>
      </w:r>
    </w:p>
    <w:p w14:paraId="0000002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5" w:right="860" w:hanging="347"/>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10- The Dynamics of Public-Private Interaction in Advancing Sustainable  Development Through Investment Strategies and Administration. By  Myroslav Buryk and others. p. 198. </w:t>
      </w:r>
    </w:p>
    <w:p w14:paraId="0000002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5" w:right="861" w:hanging="348"/>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11- Cooperation of Governmental Institutions And Advocacy Associations  Within the Framework of The Fundamental Freedoms: Conceptual  Perspective. By Olena Bondarchuk- Ladna and others. p. 228. </w:t>
      </w:r>
    </w:p>
    <w:p w14:paraId="0000002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6" w:right="860" w:hanging="348"/>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12- The Issue of Criminal Liability for Corruption Crimes in The Context of  Legal Modernization. By Anfisa Serhiienko and others. p. 250. </w:t>
      </w:r>
    </w:p>
    <w:p w14:paraId="0000002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9" w:right="860" w:hanging="351"/>
        <w:jc w:val="both"/>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13- Anti-Corruption Policy and Its Administration in Public Administration:  Theoretical Foundations and Practical Aspects of the Legal Framework. By  Oleksii Vasyliev and others. p. 276.  </w:t>
      </w:r>
    </w:p>
    <w:p w14:paraId="0000002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5" w:right="863" w:hanging="348"/>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14- Electoral Behavioral Models in Sweden and Norway: A Psychopolitical  Perspective. By Viktor Melnyk and others. p. 299. </w:t>
      </w:r>
    </w:p>
    <w:p w14:paraId="0000002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1587" w:right="863" w:hanging="349"/>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15- The Evolution of Legal Frameworks in Lithuanian State Formation:  Historical Perspectives -and The Impact of European Integration. By Lesia Kotsur and others. p. 325.  </w:t>
      </w:r>
    </w:p>
    <w:p w14:paraId="0000002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30" w:lineRule="auto"/>
        <w:ind w:left="1237" w:right="860" w:firstLine="0"/>
        <w:jc w:val="righ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16- Public Debt and Public Debt Administration Under Martial Law in the  Process of Post-War Reconstruction, By Serhii Petrukha and others. p. 341.  17- Global Economic Interaction as a Factor of Innovative Progress in  </w:t>
      </w:r>
    </w:p>
    <w:p w14:paraId="0000003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1588" w:right="922" w:firstLine="5"/>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Countries with A Transformational Model of Growth. By Yevhenii Kostyk and others. p. 372,</w:t>
      </w:r>
    </w:p>
    <w:p w14:paraId="0000003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08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- 111 - </w:t>
      </w:r>
    </w:p>
    <w:p w14:paraId="0000003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2" w:lineRule="auto"/>
        <w:ind w:left="435" w:right="506" w:firstLine="0"/>
        <w:jc w:val="center"/>
        <w:rPr>
          <w:rFonts w:ascii="Times New Roman" w:hAnsi="Times New Roman" w:eastAsia="Times New Roman" w:cs="Times New Roman"/>
          <w:b/>
          <w:bCs/>
          <w:i w:val="0"/>
          <w:iCs w:val="0"/>
          <w:smallCaps w:val="0"/>
          <w:strike w:val="0"/>
          <w:color w:val="FF0000"/>
          <w:sz w:val="31"/>
          <w:szCs w:val="31"/>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9" name="image9.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bCs/>
          <w:i w:val="0"/>
          <w:iCs w:val="0"/>
          <w:smallCaps w:val="0"/>
          <w:strike w:val="0"/>
          <w:color w:val="FF0000"/>
          <w:sz w:val="31"/>
          <w:szCs w:val="31"/>
          <w:highlight w:val="white"/>
          <w:u w:val="none"/>
          <w:vertAlign w:val="baseline"/>
          <w:rtl w:val="0"/>
        </w:rPr>
        <w:t>(5)</w:t>
      </w:r>
      <w:r>
        <w:rPr>
          <w:rFonts w:ascii="Times New Roman" w:hAnsi="Times New Roman" w:eastAsia="Times New Roman" w:cs="Times New Roman"/>
          <w:b/>
          <w:bCs/>
          <w:i w:val="0"/>
          <w:iCs w:val="0"/>
          <w:smallCaps w:val="0"/>
          <w:strike w:val="0"/>
          <w:color w:val="FF0000"/>
          <w:sz w:val="31"/>
          <w:szCs w:val="31"/>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10" name="image10.png"/>
            <wp:cNvGraphicFramePr/>
            <a:graphic xmlns:a="http://schemas.openxmlformats.org/drawingml/2006/main">
              <a:graphicData uri="http://schemas.openxmlformats.org/drawingml/2006/picture">
                <pic:pic xmlns:pic="http://schemas.openxmlformats.org/drawingml/2006/picture">
                  <pic:nvPicPr>
                    <pic:cNvPr id="10" name="image10.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3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3"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CIVIC ENGAGEMENT AS A DRIVER  </w:t>
      </w:r>
    </w:p>
    <w:p w14:paraId="0000003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2449" w:right="0" w:firstLine="0"/>
        <w:jc w:val="left"/>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OF POLITICAL CHANGE IN POST </w:t>
      </w:r>
    </w:p>
    <w:p w14:paraId="0000003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3174" w:right="0" w:firstLine="0"/>
        <w:jc w:val="left"/>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TOTALITARIAN STATES </w:t>
      </w:r>
    </w:p>
    <w:p w14:paraId="0000003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2" w:after="0" w:line="240" w:lineRule="auto"/>
        <w:ind w:left="5072" w:right="0" w:firstLine="0"/>
        <w:jc w:val="left"/>
        <w:rPr>
          <w:rFonts w:ascii="Times New Roman" w:hAnsi="Times New Roman" w:eastAsia="Times New Roman" w:cs="Times New Roman"/>
          <w:b/>
          <w:bCs/>
          <w:i w:val="0"/>
          <w:iCs w:val="0"/>
          <w:smallCaps w:val="0"/>
          <w:strike w:val="0"/>
          <w:color w:val="002060"/>
          <w:sz w:val="31"/>
          <w:szCs w:val="31"/>
          <w:u w:val="single"/>
          <w:shd w:val="clear" w:fill="auto"/>
          <w:vertAlign w:val="baseline"/>
        </w:rPr>
      </w:pPr>
      <w:r>
        <w:rPr>
          <w:rFonts w:ascii="Times New Roman" w:hAnsi="Times New Roman" w:eastAsia="Times New Roman" w:cs="Times New Roman"/>
          <w:b/>
          <w:bCs/>
          <w:i w:val="0"/>
          <w:iCs w:val="0"/>
          <w:smallCaps w:val="0"/>
          <w:strike w:val="0"/>
          <w:color w:val="002060"/>
          <w:sz w:val="31"/>
          <w:szCs w:val="31"/>
          <w:u w:val="single"/>
          <w:shd w:val="clear" w:fill="auto"/>
          <w:vertAlign w:val="baseline"/>
          <w:rtl w:val="0"/>
        </w:rPr>
        <w:t xml:space="preserve"> </w:t>
      </w:r>
    </w:p>
    <w:p w14:paraId="0000003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510" w:right="0" w:firstLine="0"/>
        <w:jc w:val="left"/>
        <w:rPr>
          <w:rFonts w:ascii="Calibri" w:hAnsi="Calibri" w:eastAsia="Calibri" w:cs="Calibri"/>
          <w:b/>
          <w:bCs/>
          <w:i w:val="0"/>
          <w:iCs w:val="0"/>
          <w:smallCaps w:val="0"/>
          <w:strike w:val="0"/>
          <w:color w:val="7F7F7F"/>
          <w:sz w:val="22"/>
          <w:szCs w:val="22"/>
          <w:u w:val="none"/>
          <w:shd w:val="clear" w:fill="F2F2F2"/>
          <w:vertAlign w:val="baseline"/>
        </w:rPr>
      </w:pPr>
      <w:r>
        <w:rPr>
          <w:rFonts w:ascii="Calibri" w:hAnsi="Calibri" w:eastAsia="Calibri" w:cs="Calibri"/>
          <w:b/>
          <w:bCs/>
          <w:i w:val="0"/>
          <w:iCs w:val="0"/>
          <w:smallCaps w:val="0"/>
          <w:strike w:val="0"/>
          <w:color w:val="7F7F7F"/>
          <w:sz w:val="22"/>
          <w:szCs w:val="22"/>
          <w:u w:val="none"/>
          <w:shd w:val="clear" w:fill="F2F2F2"/>
          <w:vertAlign w:val="baseline"/>
          <w:rtl w:val="0"/>
        </w:rPr>
        <w:t xml:space="preserve">Receipt 1/8/2025 Approval 18/9/2025 Publishing October 2025 </w:t>
      </w:r>
    </w:p>
    <w:p w14:paraId="0000003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99"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highlight w:val="white"/>
          <w:u w:val="none"/>
          <w:vertAlign w:val="baseline"/>
          <w:rtl w:val="0"/>
        </w:rPr>
        <w:t>VITALII KOSTENKO</w:t>
      </w: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 </w:t>
      </w:r>
    </w:p>
    <w:p w14:paraId="0000003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229" w:lineRule="auto"/>
        <w:ind w:left="1041" w:right="1039"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PhD in Public Administration, Associate Professor of Department of Management in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the Field of Civil Protection, National University of Civil Protection of Ukraine,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Ukraine- tetiana_madryga@ukr.net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3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https/orcid.org/0000-0001-6604-272X</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3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highlight w:val="white"/>
          <w:u w:val="none"/>
          <w:vertAlign w:val="baseline"/>
          <w:rtl w:val="0"/>
        </w:rPr>
        <w:t>TETIANA MADRYHA</w:t>
      </w: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 </w:t>
      </w:r>
    </w:p>
    <w:p w14:paraId="0000003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973" w:right="912"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PhD of Political Sciences, Associate Professor of the Department of Political Sciences,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Faculty of History, Political Science and International Relations, Vasyl Stefanyk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Precarpathian National University, Ukraine</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3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0" w:right="0" w:firstLine="0"/>
        <w:jc w:val="center"/>
        <w:rPr>
          <w:rFonts w:ascii="Times New Roman" w:hAnsi="Times New Roman" w:eastAsia="Times New Roman" w:cs="Times New Roman"/>
          <w:b w:val="0"/>
          <w:bCs w:val="0"/>
          <w:i w:val="0"/>
          <w:iCs w:val="0"/>
          <w:smallCaps w:val="0"/>
          <w:strike w:val="0"/>
          <w:color w:val="0563C1"/>
          <w:sz w:val="24"/>
          <w:szCs w:val="24"/>
          <w:u w:val="single"/>
          <w:shd w:val="clear" w:fill="auto"/>
          <w:vertAlign w:val="baseline"/>
        </w:rPr>
      </w:pPr>
      <w:r>
        <w:rPr>
          <w:rFonts w:ascii="Times New Roman" w:hAnsi="Times New Roman" w:eastAsia="Times New Roman" w:cs="Times New Roman"/>
          <w:b w:val="0"/>
          <w:bCs w:val="0"/>
          <w:i w:val="0"/>
          <w:iCs w:val="0"/>
          <w:smallCaps w:val="0"/>
          <w:strike w:val="0"/>
          <w:color w:val="0563C1"/>
          <w:sz w:val="24"/>
          <w:szCs w:val="24"/>
          <w:highlight w:val="white"/>
          <w:u w:val="single"/>
          <w:vertAlign w:val="baseline"/>
          <w:rtl w:val="0"/>
        </w:rPr>
        <w:t>https://orcid.org/0000-0001-7761-9811</w:t>
      </w:r>
      <w:r>
        <w:rPr>
          <w:rFonts w:ascii="Times New Roman" w:hAnsi="Times New Roman" w:eastAsia="Times New Roman" w:cs="Times New Roman"/>
          <w:b w:val="0"/>
          <w:bCs w:val="0"/>
          <w:i w:val="0"/>
          <w:iCs w:val="0"/>
          <w:smallCaps w:val="0"/>
          <w:strike w:val="0"/>
          <w:color w:val="0563C1"/>
          <w:sz w:val="24"/>
          <w:szCs w:val="24"/>
          <w:u w:val="single"/>
          <w:shd w:val="clear" w:fill="auto"/>
          <w:vertAlign w:val="baseline"/>
          <w:rtl w:val="0"/>
        </w:rPr>
        <w:t xml:space="preserve"> </w:t>
      </w:r>
    </w:p>
    <w:p w14:paraId="0000003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highlight w:val="white"/>
          <w:u w:val="none"/>
          <w:vertAlign w:val="baseline"/>
          <w:rtl w:val="0"/>
        </w:rPr>
        <w:t>SERGIY VONSOVYCH</w:t>
      </w: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 </w:t>
      </w:r>
    </w:p>
    <w:p w14:paraId="0000003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0" w:lineRule="auto"/>
        <w:ind w:left="913" w:right="913"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Doctor of Political Science, Professor, Department of Political Science and Philosophy,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Faculty of History, Kamianets-Podіlskyi Ivan Ohiienko National University, Ukraine.</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https/orcid.org/0000-0001-9657-0902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vonsovych@ukr.net</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highlight w:val="white"/>
          <w:u w:val="none"/>
          <w:vertAlign w:val="baseline"/>
          <w:rtl w:val="0"/>
        </w:rPr>
        <w:t xml:space="preserve">NATALIIA ZAIATS </w:t>
      </w: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 </w:t>
      </w:r>
    </w:p>
    <w:p w14:paraId="0000004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229" w:lineRule="auto"/>
        <w:ind w:left="1312" w:right="131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Doctor of Science, Docent, Professor at the Department of Theory, History and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Philosophy of Law, the National Academy of Internal Affairs, Ukraine</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https/orcid.org/0000-0002-1530-4141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563C1"/>
          <w:sz w:val="24"/>
          <w:szCs w:val="24"/>
          <w:u w:val="single"/>
          <w:shd w:val="clear" w:fill="auto"/>
          <w:vertAlign w:val="baseline"/>
        </w:rPr>
      </w:pPr>
      <w:r>
        <w:rPr>
          <w:rFonts w:ascii="Times New Roman" w:hAnsi="Times New Roman" w:eastAsia="Times New Roman" w:cs="Times New Roman"/>
          <w:b w:val="0"/>
          <w:bCs w:val="0"/>
          <w:i w:val="0"/>
          <w:iCs w:val="0"/>
          <w:smallCaps w:val="0"/>
          <w:strike w:val="0"/>
          <w:color w:val="0563C1"/>
          <w:sz w:val="24"/>
          <w:szCs w:val="24"/>
          <w:highlight w:val="white"/>
          <w:u w:val="single"/>
          <w:vertAlign w:val="baseline"/>
          <w:rtl w:val="0"/>
        </w:rPr>
        <w:t>natalie.zaiats@gmail.com</w:t>
      </w:r>
      <w:r>
        <w:rPr>
          <w:rFonts w:ascii="Times New Roman" w:hAnsi="Times New Roman" w:eastAsia="Times New Roman" w:cs="Times New Roman"/>
          <w:b w:val="0"/>
          <w:bCs w:val="0"/>
          <w:i w:val="0"/>
          <w:iCs w:val="0"/>
          <w:smallCaps w:val="0"/>
          <w:strike w:val="0"/>
          <w:color w:val="0563C1"/>
          <w:sz w:val="24"/>
          <w:szCs w:val="24"/>
          <w:u w:val="single"/>
          <w:shd w:val="clear" w:fill="auto"/>
          <w:vertAlign w:val="baseline"/>
          <w:rtl w:val="0"/>
        </w:rPr>
        <w:t xml:space="preserve"> </w:t>
      </w:r>
    </w:p>
    <w:p w14:paraId="0000004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highlight w:val="white"/>
          <w:u w:val="none"/>
          <w:vertAlign w:val="baseline"/>
          <w:rtl w:val="0"/>
        </w:rPr>
        <w:t xml:space="preserve">OLEKSANDR KALINICHENKO </w:t>
      </w: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 xml:space="preserve"> </w:t>
      </w:r>
    </w:p>
    <w:p w14:paraId="0000004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960" w:right="95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Candidate of Legal Sciences, Docent, Professor of Constitutional Law Department,</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Educational-Scientific Institute of Law and Psychology, National Academy of Internal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Affairs, Ukraine- Kiev.a.fk@gmail.com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https/orcid.org/0009-0006-4480-3894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4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1428"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1214120" cy="40259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13" name="image13.png"/>
                    <pic:cNvPicPr preferRelativeResize="0"/>
                  </pic:nvPicPr>
                  <pic:blipFill>
                    <a:blip r:embed="rId16"/>
                    <a:srcRect/>
                    <a:stretch>
                      <a:fillRect/>
                    </a:stretch>
                  </pic:blipFill>
                  <pic:spPr>
                    <a:xfrm>
                      <a:off x="0" y="0"/>
                      <a:ext cx="1214120" cy="402590"/>
                    </a:xfrm>
                    <a:prstGeom prst="rect">
                      <a:avLst/>
                    </a:prstGeom>
                  </pic:spPr>
                </pic:pic>
              </a:graphicData>
            </a:graphic>
          </wp:inline>
        </w:drawing>
      </w:r>
    </w:p>
    <w:p w14:paraId="0000004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33" w:right="863" w:firstLine="587"/>
        <w:jc w:val="both"/>
        <w:rPr>
          <w:rFonts w:ascii="Times New Roman" w:hAnsi="Times New Roman" w:eastAsia="Times New Roman" w:cs="Times New Roman"/>
          <w:b/>
          <w:bCs/>
          <w:i/>
          <w:iCs/>
          <w:smallCaps w:val="0"/>
          <w:strike w:val="0"/>
          <w:color w:val="000000"/>
          <w:sz w:val="24"/>
          <w:szCs w:val="24"/>
          <w:u w:val="none"/>
          <w:shd w:val="clear" w:fill="auto"/>
          <w:vertAlign w:val="baseline"/>
        </w:rPr>
      </w:pPr>
      <w:r>
        <w:rPr>
          <w:rFonts w:ascii="Times New Roman" w:hAnsi="Times New Roman" w:eastAsia="Times New Roman" w:cs="Times New Roman"/>
          <w:b/>
          <w:bCs/>
          <w:i/>
          <w:iCs/>
          <w:smallCaps w:val="0"/>
          <w:strike w:val="0"/>
          <w:color w:val="000000"/>
          <w:sz w:val="24"/>
          <w:szCs w:val="24"/>
          <w:u w:val="none"/>
          <w:shd w:val="clear" w:fill="auto"/>
          <w:vertAlign w:val="baseline"/>
          <w:rtl w:val="0"/>
        </w:rPr>
        <w:t>I</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n post-communist countries, democratic transformations are characterized by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a</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 complex heterogeneous structure, depending on public participation in the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t</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ransition to democratic values, active or passive participation of citizens in electoral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rocesses. The purpose of this article is to study the impact of civil society on the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rocesses of democratic transition in post-communist countries. The methodology of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p>
    <w:p w14:paraId="0000004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4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- 112 - </w:t>
      </w:r>
    </w:p>
    <w:p w14:paraId="0000004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14" name="image14.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15" name="image15.png"/>
            <wp:cNvGraphicFramePr/>
            <a:graphic xmlns:a="http://schemas.openxmlformats.org/drawingml/2006/main">
              <a:graphicData uri="http://schemas.openxmlformats.org/drawingml/2006/picture">
                <pic:pic xmlns:pic="http://schemas.openxmlformats.org/drawingml/2006/picture">
                  <pic:nvPicPr>
                    <pic:cNvPr id="15" name="image15.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4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33" w:right="861" w:firstLine="26"/>
        <w:jc w:val="both"/>
        <w:rPr>
          <w:rFonts w:ascii="Times New Roman" w:hAnsi="Times New Roman" w:eastAsia="Times New Roman" w:cs="Times New Roman"/>
          <w:b/>
          <w:bCs/>
          <w:i/>
          <w:iCs/>
          <w:smallCaps w:val="0"/>
          <w:strike w:val="0"/>
          <w:color w:val="000000"/>
          <w:sz w:val="24"/>
          <w:szCs w:val="24"/>
          <w:u w:val="none"/>
          <w:shd w:val="clear" w:fill="auto"/>
          <w:vertAlign w:val="baseline"/>
        </w:rPr>
      </w:pPr>
      <w:r>
        <w:rPr>
          <w:rFonts w:ascii="Times New Roman" w:hAnsi="Times New Roman" w:eastAsia="Times New Roman" w:cs="Times New Roman"/>
          <w:b/>
          <w:bCs/>
          <w:i/>
          <w:iCs/>
          <w:smallCaps w:val="0"/>
          <w:strike w:val="0"/>
          <w:color w:val="000000"/>
          <w:sz w:val="24"/>
          <w:szCs w:val="24"/>
          <w:u w:val="none"/>
          <w:shd w:val="clear" w:fill="auto"/>
          <w:vertAlign w:val="baseline"/>
          <w:rtl w:val="0"/>
        </w:rPr>
        <w:t>t</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he article is based on a comparative analysis and grouping of post-communist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c</w:t>
      </w:r>
      <w:r>
        <w:rPr>
          <w:rFonts w:ascii="Times New Roman" w:hAnsi="Times New Roman" w:eastAsia="Times New Roman" w:cs="Times New Roman"/>
          <w:b/>
          <w:bCs/>
          <w:i/>
          <w:iCs/>
          <w:smallCaps w:val="0"/>
          <w:strike w:val="0"/>
          <w:color w:val="000000"/>
          <w:sz w:val="24"/>
          <w:szCs w:val="24"/>
          <w:highlight w:val="white"/>
          <w:u w:val="none"/>
          <w:vertAlign w:val="baseline"/>
          <w:rtl w:val="0"/>
        </w:rPr>
        <w:t>ountries by the Democracy and Civil Society Development Indices (DCI) in 1990-</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2</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024. The results demonstrate that there is a link between a high level of democracy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(Estonia, Lithuania, Czech Republic, Slovakia, Latvia, Romania, Poland, Croatia)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a</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nd a high level of civil society involvement in political life in these countries, as well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a</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s the resilience and active position of citizens. In countries that have chosen the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E</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uropean course of development, despite the support of the population, democratic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t</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ransition has been faster and the political situation has stabilized. Instead, in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c</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ountries where there is external political pressure and involvement (Ukraine,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M</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oldova, Serbia, Georgia), the active role of society contributed to reforms, although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t</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hese countries are still in the process of transition and the establishment of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d</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emocratic values. Civil society in countries with hybrid regimes acts as an agent of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ressure on the authorities and support for reforms, but is limited by internal political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instability and external influence. At the same time, the role of civil society in these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c</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ountries is growing, despite a significant gap with countries with a high degree of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d</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emocratization. The influence of civil society organizations (further – CSOs) in this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r</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egion remains at an average level, in the form of public control, digitalization and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d</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evelopment of e-democracy, and anti-corruption initiatives. The absence of an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independent judiciary hinders the development of civil society (further – CS). In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c</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ountries with authoritarian regimes, the role of civil society is rather limited, which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leads to its weak influence on political decisions, weakness of the democratic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t</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ransition, and repressive policies towards civic activists.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p>
    <w:p w14:paraId="0000004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859" w:right="863" w:firstLine="563"/>
        <w:jc w:val="left"/>
        <w:rPr>
          <w:rFonts w:ascii="Times New Roman" w:hAnsi="Times New Roman" w:eastAsia="Times New Roman" w:cs="Times New Roman"/>
          <w:b/>
          <w:bCs/>
          <w:i/>
          <w:iCs/>
          <w:smallCaps w:val="0"/>
          <w:strike w:val="0"/>
          <w:color w:val="000000"/>
          <w:sz w:val="24"/>
          <w:szCs w:val="24"/>
          <w:u w:val="none"/>
          <w:shd w:val="clear" w:fill="auto"/>
          <w:vertAlign w:val="baseline"/>
        </w:rPr>
      </w:pPr>
      <w:r>
        <w:rPr>
          <w:rFonts w:ascii="Times New Roman" w:hAnsi="Times New Roman" w:eastAsia="Times New Roman" w:cs="Times New Roman"/>
          <w:b/>
          <w:bCs/>
          <w:i/>
          <w:iCs/>
          <w:smallCaps w:val="0"/>
          <w:strike w:val="0"/>
          <w:color w:val="000000"/>
          <w:sz w:val="24"/>
          <w:szCs w:val="24"/>
          <w:u w:val="none"/>
          <w:shd w:val="clear" w:fill="auto"/>
          <w:vertAlign w:val="baseline"/>
          <w:rtl w:val="0"/>
        </w:rPr>
        <w:t>K</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eywords: </w:t>
      </w:r>
      <w:r>
        <w:rPr>
          <w:rFonts w:ascii="Times New Roman" w:hAnsi="Times New Roman" w:eastAsia="Times New Roman" w:cs="Times New Roman"/>
          <w:b/>
          <w:bCs/>
          <w:i/>
          <w:iCs/>
          <w:smallCaps w:val="0"/>
          <w:strike w:val="0"/>
          <w:color w:val="000000"/>
          <w:sz w:val="24"/>
          <w:szCs w:val="24"/>
          <w:u w:val="none"/>
          <w:shd w:val="clear" w:fill="auto"/>
          <w:vertAlign w:val="baseline"/>
          <w:rtl w:val="0"/>
        </w:rPr>
        <w:t>c</w:t>
      </w:r>
      <w:r>
        <w:rPr>
          <w:rFonts w:ascii="Times New Roman" w:hAnsi="Times New Roman" w:eastAsia="Times New Roman" w:cs="Times New Roman"/>
          <w:b/>
          <w:bCs/>
          <w:i/>
          <w:iCs/>
          <w:smallCaps w:val="0"/>
          <w:strike w:val="0"/>
          <w:color w:val="000000"/>
          <w:sz w:val="24"/>
          <w:szCs w:val="24"/>
          <w:highlight w:val="white"/>
          <w:u w:val="none"/>
          <w:vertAlign w:val="baseline"/>
          <w:rtl w:val="0"/>
        </w:rPr>
        <w:t xml:space="preserve">ivil society, civil society participation, democracy, democratic </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t</w:t>
      </w:r>
      <w:r>
        <w:rPr>
          <w:rFonts w:ascii="Times New Roman" w:hAnsi="Times New Roman" w:eastAsia="Times New Roman" w:cs="Times New Roman"/>
          <w:b/>
          <w:bCs/>
          <w:i/>
          <w:iCs/>
          <w:smallCaps w:val="0"/>
          <w:strike w:val="0"/>
          <w:color w:val="000000"/>
          <w:sz w:val="24"/>
          <w:szCs w:val="24"/>
          <w:highlight w:val="white"/>
          <w:u w:val="none"/>
          <w:vertAlign w:val="baseline"/>
          <w:rtl w:val="0"/>
        </w:rPr>
        <w:t>ransition, democratic institutions, post-communist countries, socialist regimes.</w:t>
      </w:r>
      <w:r>
        <w:rPr>
          <w:rFonts w:ascii="Times New Roman" w:hAnsi="Times New Roman" w:eastAsia="Times New Roman" w:cs="Times New Roman"/>
          <w:b/>
          <w:bCs/>
          <w:i/>
          <w:iCs/>
          <w:smallCaps w:val="0"/>
          <w:strike w:val="0"/>
          <w:color w:val="000000"/>
          <w:sz w:val="24"/>
          <w:szCs w:val="24"/>
          <w:u w:val="none"/>
          <w:shd w:val="clear" w:fill="auto"/>
          <w:vertAlign w:val="baseline"/>
          <w:rtl w:val="0"/>
        </w:rPr>
        <w:t xml:space="preserve"> </w:t>
      </w:r>
    </w:p>
    <w:p w14:paraId="0000004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97" w:after="0" w:line="240" w:lineRule="auto"/>
        <w:ind w:left="1428" w:right="0" w:firstLine="0"/>
        <w:jc w:val="left"/>
        <w:rPr>
          <w:rFonts w:ascii="Times New Roman" w:hAnsi="Times New Roman" w:eastAsia="Times New Roman" w:cs="Times New Roman"/>
          <w:b/>
          <w:bCs/>
          <w:i/>
          <w:iCs/>
          <w:smallCaps w:val="0"/>
          <w:strike w:val="0"/>
          <w:color w:val="000000"/>
          <w:sz w:val="24"/>
          <w:szCs w:val="24"/>
          <w:u w:val="none"/>
          <w:shd w:val="clear" w:fill="auto"/>
          <w:vertAlign w:val="baseline"/>
        </w:rPr>
      </w:pPr>
      <w:r>
        <w:rPr>
          <w:rFonts w:ascii="Times New Roman" w:hAnsi="Times New Roman" w:eastAsia="Times New Roman" w:cs="Times New Roman"/>
          <w:b/>
          <w:bCs/>
          <w:i/>
          <w:iCs/>
          <w:smallCaps w:val="0"/>
          <w:strike w:val="0"/>
          <w:color w:val="000000"/>
          <w:sz w:val="24"/>
          <w:szCs w:val="24"/>
          <w:u w:val="none"/>
          <w:shd w:val="clear" w:fill="auto"/>
          <w:vertAlign w:val="baseline"/>
        </w:rPr>
        <w:drawing>
          <wp:inline distT="19050" distB="19050" distL="19050" distR="19050">
            <wp:extent cx="1971675" cy="466725"/>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18" name="image18.png"/>
                    <pic:cNvPicPr preferRelativeResize="0"/>
                  </pic:nvPicPr>
                  <pic:blipFill>
                    <a:blip r:embed="rId16"/>
                    <a:srcRect/>
                    <a:stretch>
                      <a:fillRect/>
                    </a:stretch>
                  </pic:blipFill>
                  <pic:spPr>
                    <a:xfrm>
                      <a:off x="0" y="0"/>
                      <a:ext cx="1971675" cy="466725"/>
                    </a:xfrm>
                    <a:prstGeom prst="rect">
                      <a:avLst/>
                    </a:prstGeom>
                  </pic:spPr>
                </pic:pic>
              </a:graphicData>
            </a:graphic>
          </wp:inline>
        </w:drawing>
      </w:r>
    </w:p>
    <w:p w14:paraId="0000004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3" w:firstLine="568"/>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After the collapse of socialist regimes in Central and Eastern Europe (further – CEE), the Balkan countries and the post-Soviet space, a large-scale wave of political  changes and reforms aimed at establishing democratic institutions, the rule of law and  pluralistic governance began.  </w:t>
      </w:r>
    </w:p>
    <w:p w14:paraId="0000005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863" w:right="862"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Transition to a democratic political system in post-communist countries requires  reforming the legal system, establishing the legal state and the rule of law principle,  ensuring the right to express ones opinions, free citizen’s participation in political  decision-making, decentralization of power and the formation of institutions of power  separation. </w:t>
      </w:r>
    </w:p>
    <w:p w14:paraId="0000005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863" w:right="865" w:firstLine="570"/>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post-communist countries, democratic transformations have a complex  heterogeneous structure, dependent on public participation in the transition to  democratic values, and active or passive participation of citizens in electoral processes.  The institutionalization of civil society determines the ability to form sustainable,  society-oriented state institutions and ensure public participation in public  administration. The purpose of this article is to study the impact of civil society on the  democratic transition processes in post-communist countries.</w:t>
      </w:r>
    </w:p>
    <w:p w14:paraId="0000005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982"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- 113 - </w:t>
      </w:r>
    </w:p>
    <w:p w14:paraId="0000005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19" name="image19.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16" name="image16.png"/>
            <wp:cNvGraphicFramePr/>
            <a:graphic xmlns:a="http://schemas.openxmlformats.org/drawingml/2006/main">
              <a:graphicData uri="http://schemas.openxmlformats.org/drawingml/2006/picture">
                <pic:pic xmlns:pic="http://schemas.openxmlformats.org/drawingml/2006/picture">
                  <pic:nvPicPr>
                    <pic:cNvPr id="16" name="image16.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5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67"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2. LITERATURE REVIEW </w:t>
      </w:r>
    </w:p>
    <w:p w14:paraId="0000005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3" w:lineRule="auto"/>
        <w:ind w:left="861" w:right="862" w:firstLine="58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Scholars in academic discussions continues to view civil society in post communist countries as a factor in the transition to democracy</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At the same time, most  scholars emphasize the weakness of the CS compared to other regions of Europe, as  well as the high expectations of its importance in democratization since the beginning of  1989-1991</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2, 3, 4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Researchers especially relate this focus to expectations of the growing  strength and dynamic development of this phenomenon subsequent to the end of  communist regime</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5</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The fragility of civil society in post-communist states is commonly  attributed to the enduring legacy of communism – manifested in citizens reluctance to  participate voluntary in organizations – and to the persistence impact of ethnic  nationalism</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6</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5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6" w:lineRule="auto"/>
        <w:ind w:left="863" w:right="860" w:firstLine="566"/>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As noted by Howard</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in different regions with “old” democratic regimes, or post communist systems, post-communist states have relatively lower levels of CS  organization and membership. This indicates that there are differences in the  development of civic participation and activism between these groups of states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At the  same time, post-communist countries still form a coherent cluster of states with  common characteristics for this region. The instability of the post-communist  democracy until the early 2000s hindered the formation of civic capacities vital for  reinforcing and sustaining democratic governance</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9</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Scholars believed that post </w:t>
      </w:r>
    </w:p>
    <w:p w14:paraId="0000005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communist citizens lacked sufficient institutional representation and the political  </w:t>
      </w:r>
    </w:p>
    <w:p w14:paraId="0000005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86" w:after="0" w:line="240" w:lineRule="auto"/>
        <w:ind w:left="874" w:right="875" w:hanging="1"/>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1 </w:t>
      </w:r>
      <w:r>
        <w:rPr>
          <w:rFonts w:ascii="Calibri" w:hAnsi="Calibri" w:eastAsia="Calibri" w:cs="Calibri"/>
          <w:b/>
          <w:bCs/>
          <w:i w:val="0"/>
          <w:iCs w:val="0"/>
          <w:smallCaps w:val="0"/>
          <w:strike w:val="0"/>
          <w:color w:val="000000"/>
          <w:sz w:val="19"/>
          <w:szCs w:val="19"/>
          <w:u w:val="none"/>
          <w:shd w:val="clear" w:fill="auto"/>
          <w:vertAlign w:val="baseline"/>
          <w:rtl w:val="0"/>
        </w:rPr>
        <w:t xml:space="preserve">Bolleyer, N., &amp; Correa, P. (2022). Member influence and involvement in civil society organizations: A  resource dependency perspective on groups and parties. </w:t>
      </w:r>
      <w:r>
        <w:rPr>
          <w:rFonts w:ascii="Calibri" w:hAnsi="Calibri" w:eastAsia="Calibri" w:cs="Calibri"/>
          <w:b/>
          <w:bCs/>
          <w:i/>
          <w:iCs/>
          <w:smallCaps w:val="0"/>
          <w:strike w:val="0"/>
          <w:color w:val="000000"/>
          <w:sz w:val="19"/>
          <w:szCs w:val="19"/>
          <w:u w:val="none"/>
          <w:shd w:val="clear" w:fill="auto"/>
          <w:vertAlign w:val="baseline"/>
          <w:rtl w:val="0"/>
        </w:rPr>
        <w:t>Political Studies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70</w:t>
      </w:r>
      <w:r>
        <w:rPr>
          <w:rFonts w:ascii="Calibri" w:hAnsi="Calibri" w:eastAsia="Calibri" w:cs="Calibri"/>
          <w:b/>
          <w:bCs/>
          <w:i w:val="0"/>
          <w:iCs w:val="0"/>
          <w:smallCaps w:val="0"/>
          <w:strike w:val="0"/>
          <w:color w:val="000000"/>
          <w:sz w:val="19"/>
          <w:szCs w:val="19"/>
          <w:u w:val="none"/>
          <w:shd w:val="clear" w:fill="auto"/>
          <w:vertAlign w:val="baseline"/>
          <w:rtl w:val="0"/>
        </w:rPr>
        <w:t xml:space="preserve">(2), 519-540.  https://doi.org/10.1177/0032321720968018 </w:t>
      </w:r>
    </w:p>
    <w:p w14:paraId="0000005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42" w:lineRule="auto"/>
        <w:ind w:left="865" w:right="877" w:firstLine="2"/>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 </w:t>
      </w:r>
      <w:r>
        <w:rPr>
          <w:rFonts w:ascii="Calibri" w:hAnsi="Calibri" w:eastAsia="Calibri" w:cs="Calibri"/>
          <w:b/>
          <w:bCs/>
          <w:i w:val="0"/>
          <w:iCs w:val="0"/>
          <w:smallCaps w:val="0"/>
          <w:strike w:val="0"/>
          <w:color w:val="000000"/>
          <w:sz w:val="19"/>
          <w:szCs w:val="19"/>
          <w:u w:val="none"/>
          <w:shd w:val="clear" w:fill="auto"/>
          <w:vertAlign w:val="baseline"/>
          <w:rtl w:val="0"/>
        </w:rPr>
        <w:t xml:space="preserve">Guasti, P. (2016). A Panacea for Democratic Legitimation? Assessing the Engagement of Civil Society  with EU Treaty Reform Politics. In </w:t>
      </w:r>
      <w:r>
        <w:rPr>
          <w:rFonts w:ascii="Calibri" w:hAnsi="Calibri" w:eastAsia="Calibri" w:cs="Calibri"/>
          <w:b/>
          <w:bCs/>
          <w:i/>
          <w:iCs/>
          <w:smallCaps w:val="0"/>
          <w:strike w:val="0"/>
          <w:color w:val="000000"/>
          <w:sz w:val="19"/>
          <w:szCs w:val="19"/>
          <w:u w:val="none"/>
          <w:shd w:val="clear" w:fill="auto"/>
          <w:vertAlign w:val="baseline"/>
          <w:rtl w:val="0"/>
        </w:rPr>
        <w:t xml:space="preserve">Democratising the EU from Below? </w:t>
      </w:r>
      <w:r>
        <w:rPr>
          <w:rFonts w:ascii="Calibri" w:hAnsi="Calibri" w:eastAsia="Calibri" w:cs="Calibri"/>
          <w:b/>
          <w:bCs/>
          <w:i w:val="0"/>
          <w:iCs w:val="0"/>
          <w:smallCaps w:val="0"/>
          <w:strike w:val="0"/>
          <w:color w:val="000000"/>
          <w:sz w:val="19"/>
          <w:szCs w:val="19"/>
          <w:u w:val="none"/>
          <w:shd w:val="clear" w:fill="auto"/>
          <w:vertAlign w:val="baseline"/>
          <w:rtl w:val="0"/>
        </w:rPr>
        <w:t xml:space="preserve">(pp. 135-163). Routledge.  https://www.soc.cas.cz/en/publications/panacea-democratic-legitimation-assessing-engagement civil-society-eu-treaty-reform </w:t>
      </w:r>
    </w:p>
    <w:p w14:paraId="0000005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40" w:lineRule="auto"/>
        <w:ind w:left="863" w:right="881" w:firstLine="4"/>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 </w:t>
      </w:r>
      <w:r>
        <w:rPr>
          <w:rFonts w:ascii="Calibri" w:hAnsi="Calibri" w:eastAsia="Calibri" w:cs="Calibri"/>
          <w:b/>
          <w:bCs/>
          <w:i w:val="0"/>
          <w:iCs w:val="0"/>
          <w:smallCaps w:val="0"/>
          <w:strike w:val="0"/>
          <w:color w:val="000000"/>
          <w:sz w:val="19"/>
          <w:szCs w:val="19"/>
          <w:u w:val="none"/>
          <w:shd w:val="clear" w:fill="auto"/>
          <w:vertAlign w:val="baseline"/>
          <w:rtl w:val="0"/>
        </w:rPr>
        <w:t xml:space="preserve">Chimiak, G. (2021). The internationalization of Polish civil society elites and their impact on  development cooperation policy and practice. </w:t>
      </w:r>
      <w:r>
        <w:rPr>
          <w:rFonts w:ascii="Calibri" w:hAnsi="Calibri" w:eastAsia="Calibri" w:cs="Calibri"/>
          <w:b/>
          <w:bCs/>
          <w:i/>
          <w:iCs/>
          <w:smallCaps w:val="0"/>
          <w:strike w:val="0"/>
          <w:color w:val="000000"/>
          <w:sz w:val="19"/>
          <w:szCs w:val="19"/>
          <w:u w:val="none"/>
          <w:shd w:val="clear" w:fill="auto"/>
          <w:vertAlign w:val="baseline"/>
          <w:rtl w:val="0"/>
        </w:rPr>
        <w:t>International Journal of Sociology and Social Policy,  41</w:t>
      </w:r>
      <w:r>
        <w:rPr>
          <w:rFonts w:ascii="Calibri" w:hAnsi="Calibri" w:eastAsia="Calibri" w:cs="Calibri"/>
          <w:b/>
          <w:bCs/>
          <w:i w:val="0"/>
          <w:iCs w:val="0"/>
          <w:smallCaps w:val="0"/>
          <w:strike w:val="0"/>
          <w:color w:val="000000"/>
          <w:sz w:val="19"/>
          <w:szCs w:val="19"/>
          <w:u w:val="none"/>
          <w:shd w:val="clear" w:fill="auto"/>
          <w:vertAlign w:val="baseline"/>
          <w:rtl w:val="0"/>
        </w:rPr>
        <w:t xml:space="preserve">(5/6), 748-761. https://doi.org/10.1108/IJSSP-06-2020-0208 </w:t>
      </w:r>
    </w:p>
    <w:p w14:paraId="0000005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55" w:lineRule="auto"/>
        <w:ind w:left="868" w:right="875" w:hanging="3"/>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4 </w:t>
      </w:r>
      <w:r>
        <w:rPr>
          <w:rFonts w:ascii="Calibri" w:hAnsi="Calibri" w:eastAsia="Calibri" w:cs="Calibri"/>
          <w:b/>
          <w:bCs/>
          <w:i w:val="0"/>
          <w:iCs w:val="0"/>
          <w:smallCaps w:val="0"/>
          <w:strike w:val="0"/>
          <w:color w:val="000000"/>
          <w:sz w:val="19"/>
          <w:szCs w:val="19"/>
          <w:u w:val="none"/>
          <w:shd w:val="clear" w:fill="auto"/>
          <w:vertAlign w:val="baseline"/>
          <w:rtl w:val="0"/>
        </w:rPr>
        <w:t xml:space="preserve">Pierobon, C. (2021). European Union, civil society and local ownership in Kyrgyzstan: analysing patterns of adaptation, reinterpretation and contestation in the prevention of violent extremism  (PVE). </w:t>
      </w:r>
      <w:r>
        <w:rPr>
          <w:rFonts w:ascii="Calibri" w:hAnsi="Calibri" w:eastAsia="Calibri" w:cs="Calibri"/>
          <w:b/>
          <w:bCs/>
          <w:i/>
          <w:iCs/>
          <w:smallCaps w:val="0"/>
          <w:strike w:val="0"/>
          <w:color w:val="000000"/>
          <w:sz w:val="19"/>
          <w:szCs w:val="19"/>
          <w:u w:val="none"/>
          <w:shd w:val="clear" w:fill="auto"/>
          <w:vertAlign w:val="baseline"/>
          <w:rtl w:val="0"/>
        </w:rPr>
        <w:t>Central Asian Survey, 41</w:t>
      </w:r>
      <w:r>
        <w:rPr>
          <w:rFonts w:ascii="Calibri" w:hAnsi="Calibri" w:eastAsia="Calibri" w:cs="Calibri"/>
          <w:b/>
          <w:bCs/>
          <w:i w:val="0"/>
          <w:iCs w:val="0"/>
          <w:smallCaps w:val="0"/>
          <w:strike w:val="0"/>
          <w:color w:val="000000"/>
          <w:sz w:val="19"/>
          <w:szCs w:val="19"/>
          <w:u w:val="none"/>
          <w:shd w:val="clear" w:fill="auto"/>
          <w:vertAlign w:val="baseline"/>
          <w:rtl w:val="0"/>
        </w:rPr>
        <w:t xml:space="preserve">(4), 752-769. https://doi.org/10.1080/02634937.2021.1905608 </w:t>
      </w:r>
      <w:r>
        <w:rPr>
          <w:rFonts w:ascii="Calibri" w:hAnsi="Calibri" w:eastAsia="Calibri" w:cs="Calibri"/>
          <w:b/>
          <w:bCs/>
          <w:i w:val="0"/>
          <w:iCs w:val="0"/>
          <w:smallCaps w:val="0"/>
          <w:strike w:val="0"/>
          <w:color w:val="000000"/>
          <w:sz w:val="21"/>
          <w:szCs w:val="21"/>
          <w:u w:val="none"/>
          <w:shd w:val="clear" w:fill="auto"/>
          <w:vertAlign w:val="superscript"/>
          <w:rtl w:val="0"/>
        </w:rPr>
        <w:t xml:space="preserve">5 </w:t>
      </w:r>
      <w:r>
        <w:rPr>
          <w:rFonts w:ascii="Calibri" w:hAnsi="Calibri" w:eastAsia="Calibri" w:cs="Calibri"/>
          <w:b/>
          <w:bCs/>
          <w:i w:val="0"/>
          <w:iCs w:val="0"/>
          <w:smallCaps w:val="0"/>
          <w:strike w:val="0"/>
          <w:color w:val="000000"/>
          <w:sz w:val="19"/>
          <w:szCs w:val="19"/>
          <w:u w:val="none"/>
          <w:shd w:val="clear" w:fill="auto"/>
          <w:vertAlign w:val="baseline"/>
          <w:rtl w:val="0"/>
        </w:rPr>
        <w:t xml:space="preserve">Howard, M. M. (2002). The weakness of postcommunist civil society. </w:t>
      </w:r>
      <w:r>
        <w:rPr>
          <w:rFonts w:ascii="Calibri" w:hAnsi="Calibri" w:eastAsia="Calibri" w:cs="Calibri"/>
          <w:b/>
          <w:bCs/>
          <w:i/>
          <w:iCs/>
          <w:smallCaps w:val="0"/>
          <w:strike w:val="0"/>
          <w:color w:val="000000"/>
          <w:sz w:val="19"/>
          <w:szCs w:val="19"/>
          <w:u w:val="none"/>
          <w:shd w:val="clear" w:fill="auto"/>
          <w:vertAlign w:val="baseline"/>
          <w:rtl w:val="0"/>
        </w:rPr>
        <w:t>Journal of democracy</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13</w:t>
      </w:r>
      <w:r>
        <w:rPr>
          <w:rFonts w:ascii="Calibri" w:hAnsi="Calibri" w:eastAsia="Calibri" w:cs="Calibri"/>
          <w:b/>
          <w:bCs/>
          <w:i w:val="0"/>
          <w:iCs w:val="0"/>
          <w:smallCaps w:val="0"/>
          <w:strike w:val="0"/>
          <w:color w:val="000000"/>
          <w:sz w:val="19"/>
          <w:szCs w:val="19"/>
          <w:u w:val="none"/>
          <w:shd w:val="clear" w:fill="auto"/>
          <w:vertAlign w:val="baseline"/>
          <w:rtl w:val="0"/>
        </w:rPr>
        <w:t xml:space="preserve">(1),  157-169. https://doi.org/10.1353/jod.2002.0008 </w:t>
      </w:r>
    </w:p>
    <w:p w14:paraId="0000005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3" w:after="0" w:line="240" w:lineRule="auto"/>
        <w:ind w:left="872" w:right="875" w:hanging="5"/>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6 </w:t>
      </w:r>
      <w:r>
        <w:rPr>
          <w:rFonts w:ascii="Calibri" w:hAnsi="Calibri" w:eastAsia="Calibri" w:cs="Calibri"/>
          <w:b/>
          <w:bCs/>
          <w:i w:val="0"/>
          <w:iCs w:val="0"/>
          <w:smallCaps w:val="0"/>
          <w:strike w:val="0"/>
          <w:color w:val="000000"/>
          <w:sz w:val="19"/>
          <w:szCs w:val="19"/>
          <w:u w:val="none"/>
          <w:shd w:val="clear" w:fill="auto"/>
          <w:vertAlign w:val="baseline"/>
          <w:rtl w:val="0"/>
        </w:rPr>
        <w:t xml:space="preserve">Kostovicova, D. (2006). Civil society and post-communist democratization: Facing a double challenge  in post-Milošević Serbia. </w:t>
      </w:r>
      <w:r>
        <w:rPr>
          <w:rFonts w:ascii="Calibri" w:hAnsi="Calibri" w:eastAsia="Calibri" w:cs="Calibri"/>
          <w:b/>
          <w:bCs/>
          <w:i/>
          <w:iCs/>
          <w:smallCaps w:val="0"/>
          <w:strike w:val="0"/>
          <w:color w:val="000000"/>
          <w:sz w:val="19"/>
          <w:szCs w:val="19"/>
          <w:u w:val="none"/>
          <w:shd w:val="clear" w:fill="auto"/>
          <w:vertAlign w:val="baseline"/>
          <w:rtl w:val="0"/>
        </w:rPr>
        <w:t>Journal of Civil Society</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2</w:t>
      </w:r>
      <w:r>
        <w:rPr>
          <w:rFonts w:ascii="Calibri" w:hAnsi="Calibri" w:eastAsia="Calibri" w:cs="Calibri"/>
          <w:b/>
          <w:bCs/>
          <w:i w:val="0"/>
          <w:iCs w:val="0"/>
          <w:smallCaps w:val="0"/>
          <w:strike w:val="0"/>
          <w:color w:val="000000"/>
          <w:sz w:val="19"/>
          <w:szCs w:val="19"/>
          <w:u w:val="none"/>
          <w:shd w:val="clear" w:fill="auto"/>
          <w:vertAlign w:val="baseline"/>
          <w:rtl w:val="0"/>
        </w:rPr>
        <w:t xml:space="preserve">(1), 21-37.  https://doi.org/10.1080/17448680600730918 </w:t>
      </w:r>
    </w:p>
    <w:p w14:paraId="0000005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40" w:lineRule="auto"/>
        <w:ind w:left="868"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7 </w:t>
      </w:r>
      <w:r>
        <w:rPr>
          <w:rFonts w:ascii="Calibri" w:hAnsi="Calibri" w:eastAsia="Calibri" w:cs="Calibri"/>
          <w:b/>
          <w:bCs/>
          <w:i w:val="0"/>
          <w:iCs w:val="0"/>
          <w:smallCaps w:val="0"/>
          <w:strike w:val="0"/>
          <w:color w:val="000000"/>
          <w:sz w:val="19"/>
          <w:szCs w:val="19"/>
          <w:u w:val="none"/>
          <w:shd w:val="clear" w:fill="auto"/>
          <w:vertAlign w:val="baseline"/>
          <w:rtl w:val="0"/>
        </w:rPr>
        <w:t xml:space="preserve">Howard, M. M. (2002).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5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39" w:lineRule="auto"/>
        <w:ind w:left="844" w:right="876" w:firstLine="21"/>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8 </w:t>
      </w:r>
      <w:r>
        <w:rPr>
          <w:rFonts w:ascii="Calibri" w:hAnsi="Calibri" w:eastAsia="Calibri" w:cs="Calibri"/>
          <w:b/>
          <w:bCs/>
          <w:i w:val="0"/>
          <w:iCs w:val="0"/>
          <w:smallCaps w:val="0"/>
          <w:strike w:val="0"/>
          <w:color w:val="000000"/>
          <w:sz w:val="19"/>
          <w:szCs w:val="19"/>
          <w:u w:val="none"/>
          <w:shd w:val="clear" w:fill="auto"/>
          <w:vertAlign w:val="baseline"/>
          <w:rtl w:val="0"/>
        </w:rPr>
        <w:t xml:space="preserve">Stan, L. (2012). Civil society and post-communist transitional justice in Romania. In </w:t>
      </w:r>
      <w:r>
        <w:rPr>
          <w:rFonts w:ascii="Calibri" w:hAnsi="Calibri" w:eastAsia="Calibri" w:cs="Calibri"/>
          <w:b/>
          <w:bCs/>
          <w:i/>
          <w:iCs/>
          <w:smallCaps w:val="0"/>
          <w:strike w:val="0"/>
          <w:color w:val="000000"/>
          <w:sz w:val="19"/>
          <w:szCs w:val="19"/>
          <w:u w:val="none"/>
          <w:shd w:val="clear" w:fill="auto"/>
          <w:vertAlign w:val="baseline"/>
          <w:rtl w:val="0"/>
        </w:rPr>
        <w:t xml:space="preserve">Transitional  justice and civil society in the Balkans </w:t>
      </w:r>
      <w:r>
        <w:rPr>
          <w:rFonts w:ascii="Calibri" w:hAnsi="Calibri" w:eastAsia="Calibri" w:cs="Calibri"/>
          <w:b/>
          <w:bCs/>
          <w:i w:val="0"/>
          <w:iCs w:val="0"/>
          <w:smallCaps w:val="0"/>
          <w:strike w:val="0"/>
          <w:color w:val="000000"/>
          <w:sz w:val="19"/>
          <w:szCs w:val="19"/>
          <w:u w:val="none"/>
          <w:shd w:val="clear" w:fill="auto"/>
          <w:vertAlign w:val="baseline"/>
          <w:rtl w:val="0"/>
        </w:rPr>
        <w:t xml:space="preserve">(pp. 17-31). New York: Springer New York.  https://doi.org/10.1007/978-1-4614-5422-9_2  </w:t>
      </w:r>
    </w:p>
    <w:p w14:paraId="0000005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8" w:after="0" w:line="240" w:lineRule="auto"/>
        <w:ind w:left="866"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9 </w:t>
      </w:r>
      <w:r>
        <w:rPr>
          <w:rFonts w:ascii="Calibri" w:hAnsi="Calibri" w:eastAsia="Calibri" w:cs="Calibri"/>
          <w:b/>
          <w:bCs/>
          <w:i w:val="0"/>
          <w:iCs w:val="0"/>
          <w:smallCaps w:val="0"/>
          <w:strike w:val="0"/>
          <w:color w:val="000000"/>
          <w:sz w:val="19"/>
          <w:szCs w:val="19"/>
          <w:u w:val="none"/>
          <w:shd w:val="clear" w:fill="auto"/>
          <w:vertAlign w:val="baseline"/>
          <w:rtl w:val="0"/>
        </w:rPr>
        <w:t xml:space="preserve">Howard, M. M. (2002).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06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- 114 - </w:t>
      </w:r>
    </w:p>
    <w:p w14:paraId="0000006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3" w:lineRule="auto"/>
        <w:ind w:left="435" w:right="506"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17" name="image17.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“leverage” that volunteer organizations could provide through their activity</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10, 11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However, since the beginning of 2004-2005, the active processes of European  integration have significantly transformed the role of CSOs in the democratic transition.  </w:t>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22" name="image22.png"/>
            <wp:cNvGraphicFramePr/>
            <a:graphic xmlns:a="http://schemas.openxmlformats.org/drawingml/2006/main">
              <a:graphicData uri="http://schemas.openxmlformats.org/drawingml/2006/picture">
                <pic:pic xmlns:pic="http://schemas.openxmlformats.org/drawingml/2006/picture">
                  <pic:nvPicPr>
                    <pic:cNvPr id="22" name="image22.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6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2" w:lineRule="auto"/>
        <w:ind w:left="864" w:right="863"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Contrary to the conventional perception of civil society’s weakness, Bernhard and  Kaya</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12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provide evidence that it has functioned as a significant material force in driving  democratic transitions in post-communist states. This work challenges the prevailing  tendency to characterize post-communist civil society in binary terms as being robust or  fragile. Instead, the authors demonstrate the differences in the strength of CS influence  in the transitional periods of countries’ development</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13</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6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0" w:lineRule="auto"/>
        <w:ind w:left="863" w:right="860" w:firstLine="566"/>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According to Green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14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post-communist society plays a crucial role in the  democratic transformation following authoritarian rule. Despite the importance and  common academic perception of CS as a factor of aggregation and reflection of  common interests of the population, there are limitations in the study of its role in  different groups of post-communist countries. Bernhard and Jung</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15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contend that the  robustness of civil society during the transition to from communist strongly predicts the  emergence of liberal democratic regimes in post-communist states due to the active role  civil society plays in restructuring political elites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16</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Ekiert</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17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note that CS organizations  have a manageable impact on democratic transition. Pietrzyk-Reeves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18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contends that  civil society in CEE countries ought to be examined as a cause or outcome of  democratization and democratic consolidation, but as an autonomous phenomenon.  Baća</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19</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Kákai and Bejma</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20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study the role of CSOs in post-communist societies and the  controversial practices of their activities. </w:t>
      </w:r>
    </w:p>
    <w:p w14:paraId="0000006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22" w:after="0" w:line="234" w:lineRule="auto"/>
        <w:ind w:left="874" w:right="875" w:hanging="3"/>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10 </w:t>
      </w:r>
      <w:r>
        <w:rPr>
          <w:rFonts w:ascii="Calibri" w:hAnsi="Calibri" w:eastAsia="Calibri" w:cs="Calibri"/>
          <w:b/>
          <w:bCs/>
          <w:i w:val="0"/>
          <w:iCs w:val="0"/>
          <w:smallCaps w:val="0"/>
          <w:strike w:val="0"/>
          <w:color w:val="000000"/>
          <w:sz w:val="19"/>
          <w:szCs w:val="19"/>
          <w:u w:val="none"/>
          <w:shd w:val="clear" w:fill="auto"/>
          <w:vertAlign w:val="baseline"/>
          <w:rtl w:val="0"/>
        </w:rPr>
        <w:t xml:space="preserve">Jacobsson, K., &amp; Korolczuk, E. (2017). </w:t>
      </w:r>
      <w:r>
        <w:rPr>
          <w:rFonts w:ascii="Calibri" w:hAnsi="Calibri" w:eastAsia="Calibri" w:cs="Calibri"/>
          <w:b/>
          <w:bCs/>
          <w:i/>
          <w:iCs/>
          <w:smallCaps w:val="0"/>
          <w:strike w:val="0"/>
          <w:color w:val="000000"/>
          <w:sz w:val="19"/>
          <w:szCs w:val="19"/>
          <w:u w:val="none"/>
          <w:shd w:val="clear" w:fill="auto"/>
          <w:vertAlign w:val="baseline"/>
          <w:rtl w:val="0"/>
        </w:rPr>
        <w:t xml:space="preserve">Civil society revisited: Lessons from Poland. </w:t>
      </w:r>
      <w:r>
        <w:rPr>
          <w:rFonts w:ascii="Calibri" w:hAnsi="Calibri" w:eastAsia="Calibri" w:cs="Calibri"/>
          <w:b/>
          <w:bCs/>
          <w:i w:val="0"/>
          <w:iCs w:val="0"/>
          <w:smallCaps w:val="0"/>
          <w:strike w:val="0"/>
          <w:color w:val="000000"/>
          <w:sz w:val="19"/>
          <w:szCs w:val="19"/>
          <w:u w:val="none"/>
          <w:shd w:val="clear" w:fill="auto"/>
          <w:vertAlign w:val="baseline"/>
          <w:rtl w:val="0"/>
        </w:rPr>
        <w:t>Berghahn Books</w:t>
      </w:r>
      <w:r>
        <w:rPr>
          <w:rFonts w:ascii="Calibri" w:hAnsi="Calibri" w:eastAsia="Calibri" w:cs="Calibri"/>
          <w:b/>
          <w:bCs/>
          <w:i/>
          <w:iCs/>
          <w:smallCaps w:val="0"/>
          <w:strike w:val="0"/>
          <w:color w:val="000000"/>
          <w:sz w:val="19"/>
          <w:szCs w:val="19"/>
          <w:u w:val="none"/>
          <w:shd w:val="clear" w:fill="auto"/>
          <w:vertAlign w:val="baseline"/>
          <w:rtl w:val="0"/>
        </w:rPr>
        <w:t xml:space="preserve">.  </w:t>
      </w:r>
      <w:r>
        <w:rPr>
          <w:rFonts w:ascii="Calibri" w:hAnsi="Calibri" w:eastAsia="Calibri" w:cs="Calibri"/>
          <w:b/>
          <w:bCs/>
          <w:i w:val="0"/>
          <w:iCs w:val="0"/>
          <w:smallCaps w:val="0"/>
          <w:strike w:val="0"/>
          <w:color w:val="000000"/>
          <w:sz w:val="19"/>
          <w:szCs w:val="19"/>
          <w:u w:val="none"/>
          <w:shd w:val="clear" w:fill="auto"/>
          <w:vertAlign w:val="baseline"/>
          <w:rtl w:val="0"/>
        </w:rPr>
        <w:t xml:space="preserve">https://doi.org/10.2307/j.ctvw04jx2 </w:t>
      </w:r>
    </w:p>
    <w:p w14:paraId="0000006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9" w:after="0" w:line="255" w:lineRule="auto"/>
        <w:ind w:left="862" w:right="875" w:firstLine="9"/>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11 </w:t>
      </w:r>
      <w:r>
        <w:rPr>
          <w:rFonts w:ascii="Calibri" w:hAnsi="Calibri" w:eastAsia="Calibri" w:cs="Calibri"/>
          <w:b/>
          <w:bCs/>
          <w:i w:val="0"/>
          <w:iCs w:val="0"/>
          <w:smallCaps w:val="0"/>
          <w:strike w:val="0"/>
          <w:color w:val="000000"/>
          <w:sz w:val="19"/>
          <w:szCs w:val="19"/>
          <w:u w:val="none"/>
          <w:shd w:val="clear" w:fill="auto"/>
          <w:vertAlign w:val="baseline"/>
          <w:rtl w:val="0"/>
        </w:rPr>
        <w:t xml:space="preserve">Sellers, J. M., Lidström, A., &amp; Bae, Y. (2020). </w:t>
      </w:r>
      <w:r>
        <w:rPr>
          <w:rFonts w:ascii="Calibri" w:hAnsi="Calibri" w:eastAsia="Calibri" w:cs="Calibri"/>
          <w:b/>
          <w:bCs/>
          <w:i/>
          <w:iCs/>
          <w:smallCaps w:val="0"/>
          <w:strike w:val="0"/>
          <w:color w:val="000000"/>
          <w:sz w:val="19"/>
          <w:szCs w:val="19"/>
          <w:u w:val="none"/>
          <w:shd w:val="clear" w:fill="auto"/>
          <w:vertAlign w:val="baseline"/>
          <w:rtl w:val="0"/>
        </w:rPr>
        <w:t xml:space="preserve">Multilevel democracy: How local institutions and civil  society shape the modern state. </w:t>
      </w:r>
      <w:r>
        <w:rPr>
          <w:rFonts w:ascii="Calibri" w:hAnsi="Calibri" w:eastAsia="Calibri" w:cs="Calibri"/>
          <w:b/>
          <w:bCs/>
          <w:i w:val="0"/>
          <w:iCs w:val="0"/>
          <w:smallCaps w:val="0"/>
          <w:strike w:val="0"/>
          <w:color w:val="000000"/>
          <w:sz w:val="19"/>
          <w:szCs w:val="19"/>
          <w:u w:val="none"/>
          <w:shd w:val="clear" w:fill="auto"/>
          <w:vertAlign w:val="baseline"/>
          <w:rtl w:val="0"/>
        </w:rPr>
        <w:t xml:space="preserve">Cambridge University Press. https://doi.org/10.1017/9781108672337 </w:t>
      </w:r>
      <w:r>
        <w:rPr>
          <w:rFonts w:ascii="Calibri" w:hAnsi="Calibri" w:eastAsia="Calibri" w:cs="Calibri"/>
          <w:b/>
          <w:bCs/>
          <w:i w:val="0"/>
          <w:iCs w:val="0"/>
          <w:smallCaps w:val="0"/>
          <w:strike w:val="0"/>
          <w:color w:val="000000"/>
          <w:sz w:val="21"/>
          <w:szCs w:val="21"/>
          <w:u w:val="none"/>
          <w:shd w:val="clear" w:fill="auto"/>
          <w:vertAlign w:val="superscript"/>
          <w:rtl w:val="0"/>
        </w:rPr>
        <w:t xml:space="preserve">12 </w:t>
      </w:r>
      <w:r>
        <w:rPr>
          <w:rFonts w:ascii="Calibri" w:hAnsi="Calibri" w:eastAsia="Calibri" w:cs="Calibri"/>
          <w:b/>
          <w:bCs/>
          <w:i w:val="0"/>
          <w:iCs w:val="0"/>
          <w:smallCaps w:val="0"/>
          <w:strike w:val="0"/>
          <w:color w:val="000000"/>
          <w:sz w:val="19"/>
          <w:szCs w:val="19"/>
          <w:u w:val="none"/>
          <w:shd w:val="clear" w:fill="auto"/>
          <w:vertAlign w:val="baseline"/>
          <w:rtl w:val="0"/>
        </w:rPr>
        <w:t xml:space="preserve">Bernhard, M., &amp; Kaya, R. (2012). Civil society and regime type in European post-communist  countries: The perspective two decades after 1989-1991. </w:t>
      </w:r>
      <w:r>
        <w:rPr>
          <w:rFonts w:ascii="Calibri" w:hAnsi="Calibri" w:eastAsia="Calibri" w:cs="Calibri"/>
          <w:b/>
          <w:bCs/>
          <w:i/>
          <w:iCs/>
          <w:smallCaps w:val="0"/>
          <w:strike w:val="0"/>
          <w:color w:val="000000"/>
          <w:sz w:val="19"/>
          <w:szCs w:val="19"/>
          <w:u w:val="none"/>
          <w:shd w:val="clear" w:fill="auto"/>
          <w:vertAlign w:val="baseline"/>
          <w:rtl w:val="0"/>
        </w:rPr>
        <w:t>Taiwan Journal of Democracy</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8</w:t>
      </w:r>
      <w:r>
        <w:rPr>
          <w:rFonts w:ascii="Calibri" w:hAnsi="Calibri" w:eastAsia="Calibri" w:cs="Calibri"/>
          <w:b/>
          <w:bCs/>
          <w:i w:val="0"/>
          <w:iCs w:val="0"/>
          <w:smallCaps w:val="0"/>
          <w:strike w:val="0"/>
          <w:color w:val="000000"/>
          <w:sz w:val="19"/>
          <w:szCs w:val="19"/>
          <w:u w:val="none"/>
          <w:shd w:val="clear" w:fill="auto"/>
          <w:vertAlign w:val="baseline"/>
          <w:rtl w:val="0"/>
        </w:rPr>
        <w:t xml:space="preserve">(2), 113-126.  https://doi.org/10.29654/TJD.201212.0011 </w:t>
      </w:r>
    </w:p>
    <w:p w14:paraId="0000006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3" w:after="0" w:line="240" w:lineRule="auto"/>
        <w:ind w:left="873"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13 </w:t>
      </w:r>
      <w:r>
        <w:rPr>
          <w:rFonts w:ascii="Calibri" w:hAnsi="Calibri" w:eastAsia="Calibri" w:cs="Calibri"/>
          <w:b/>
          <w:bCs/>
          <w:i w:val="0"/>
          <w:iCs w:val="0"/>
          <w:smallCaps w:val="0"/>
          <w:strike w:val="0"/>
          <w:color w:val="000000"/>
          <w:sz w:val="19"/>
          <w:szCs w:val="19"/>
          <w:u w:val="none"/>
          <w:shd w:val="clear" w:fill="auto"/>
          <w:vertAlign w:val="baseline"/>
          <w:rtl w:val="0"/>
        </w:rPr>
        <w:t xml:space="preserve">Bernhard, M., &amp; Kaya, R. (2012).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6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1" w:after="0" w:line="236" w:lineRule="auto"/>
        <w:ind w:left="862" w:right="875" w:firstLine="9"/>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14 </w:t>
      </w:r>
      <w:r>
        <w:rPr>
          <w:rFonts w:ascii="Calibri" w:hAnsi="Calibri" w:eastAsia="Calibri" w:cs="Calibri"/>
          <w:b/>
          <w:bCs/>
          <w:i w:val="0"/>
          <w:iCs w:val="0"/>
          <w:smallCaps w:val="0"/>
          <w:strike w:val="0"/>
          <w:color w:val="000000"/>
          <w:sz w:val="19"/>
          <w:szCs w:val="19"/>
          <w:u w:val="none"/>
          <w:shd w:val="clear" w:fill="auto"/>
          <w:vertAlign w:val="baseline"/>
          <w:rtl w:val="0"/>
        </w:rPr>
        <w:t xml:space="preserve">Green, A. T. (2002). Comparative development of post-communist civil societies. </w:t>
      </w:r>
      <w:r>
        <w:rPr>
          <w:rFonts w:ascii="Calibri" w:hAnsi="Calibri" w:eastAsia="Calibri" w:cs="Calibri"/>
          <w:b/>
          <w:bCs/>
          <w:i/>
          <w:iCs/>
          <w:smallCaps w:val="0"/>
          <w:strike w:val="0"/>
          <w:color w:val="000000"/>
          <w:sz w:val="19"/>
          <w:szCs w:val="19"/>
          <w:u w:val="none"/>
          <w:shd w:val="clear" w:fill="auto"/>
          <w:vertAlign w:val="baseline"/>
          <w:rtl w:val="0"/>
        </w:rPr>
        <w:t>Europe-Asia  Studies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54</w:t>
      </w:r>
      <w:r>
        <w:rPr>
          <w:rFonts w:ascii="Calibri" w:hAnsi="Calibri" w:eastAsia="Calibri" w:cs="Calibri"/>
          <w:b/>
          <w:bCs/>
          <w:i w:val="0"/>
          <w:iCs w:val="0"/>
          <w:smallCaps w:val="0"/>
          <w:strike w:val="0"/>
          <w:color w:val="000000"/>
          <w:sz w:val="19"/>
          <w:szCs w:val="19"/>
          <w:u w:val="none"/>
          <w:shd w:val="clear" w:fill="auto"/>
          <w:vertAlign w:val="baseline"/>
          <w:rtl w:val="0"/>
        </w:rPr>
        <w:t xml:space="preserve">(3), 455-471. https://doi.org/10.1080/09668130220129560 </w:t>
      </w:r>
    </w:p>
    <w:p w14:paraId="0000006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7" w:after="0" w:line="236" w:lineRule="auto"/>
        <w:ind w:left="871" w:right="878"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15 </w:t>
      </w:r>
      <w:r>
        <w:rPr>
          <w:rFonts w:ascii="Calibri" w:hAnsi="Calibri" w:eastAsia="Calibri" w:cs="Calibri"/>
          <w:b/>
          <w:bCs/>
          <w:i w:val="0"/>
          <w:iCs w:val="0"/>
          <w:smallCaps w:val="0"/>
          <w:strike w:val="0"/>
          <w:color w:val="000000"/>
          <w:sz w:val="19"/>
          <w:szCs w:val="19"/>
          <w:u w:val="none"/>
          <w:shd w:val="clear" w:fill="auto"/>
          <w:vertAlign w:val="baseline"/>
          <w:rtl w:val="0"/>
        </w:rPr>
        <w:t xml:space="preserve">Bernhard, M., &amp; Jung, D. J. (2017). Civil society and income inequality in post-communist Eurasia.  </w:t>
      </w:r>
      <w:r>
        <w:rPr>
          <w:rFonts w:ascii="Calibri" w:hAnsi="Calibri" w:eastAsia="Calibri" w:cs="Calibri"/>
          <w:b/>
          <w:bCs/>
          <w:i/>
          <w:iCs/>
          <w:smallCaps w:val="0"/>
          <w:strike w:val="0"/>
          <w:color w:val="000000"/>
          <w:sz w:val="19"/>
          <w:szCs w:val="19"/>
          <w:u w:val="none"/>
          <w:shd w:val="clear" w:fill="auto"/>
          <w:vertAlign w:val="baseline"/>
          <w:rtl w:val="0"/>
        </w:rPr>
        <w:t>Comparative Politics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49</w:t>
      </w:r>
      <w:r>
        <w:rPr>
          <w:rFonts w:ascii="Calibri" w:hAnsi="Calibri" w:eastAsia="Calibri" w:cs="Calibri"/>
          <w:b/>
          <w:bCs/>
          <w:i w:val="0"/>
          <w:iCs w:val="0"/>
          <w:smallCaps w:val="0"/>
          <w:strike w:val="0"/>
          <w:color w:val="000000"/>
          <w:sz w:val="19"/>
          <w:szCs w:val="19"/>
          <w:u w:val="none"/>
          <w:shd w:val="clear" w:fill="auto"/>
          <w:vertAlign w:val="baseline"/>
          <w:rtl w:val="0"/>
        </w:rPr>
        <w:t xml:space="preserve">(3), 373-397. https://doi.org/10.5129/001041517820934249 </w:t>
      </w:r>
    </w:p>
    <w:p w14:paraId="0000006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40" w:lineRule="auto"/>
        <w:ind w:left="871"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16 </w:t>
      </w:r>
      <w:r>
        <w:rPr>
          <w:rFonts w:ascii="Calibri" w:hAnsi="Calibri" w:eastAsia="Calibri" w:cs="Calibri"/>
          <w:b/>
          <w:bCs/>
          <w:i w:val="0"/>
          <w:iCs w:val="0"/>
          <w:smallCaps w:val="0"/>
          <w:strike w:val="0"/>
          <w:color w:val="000000"/>
          <w:sz w:val="19"/>
          <w:szCs w:val="19"/>
          <w:u w:val="none"/>
          <w:shd w:val="clear" w:fill="auto"/>
          <w:vertAlign w:val="baseline"/>
          <w:rtl w:val="0"/>
        </w:rPr>
        <w:t xml:space="preserve">Bernhard, M., &amp; Jung, D. J. (2017).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6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867" w:right="875" w:firstLine="4"/>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17 </w:t>
      </w:r>
      <w:r>
        <w:rPr>
          <w:rFonts w:ascii="Calibri" w:hAnsi="Calibri" w:eastAsia="Calibri" w:cs="Calibri"/>
          <w:b/>
          <w:bCs/>
          <w:i w:val="0"/>
          <w:iCs w:val="0"/>
          <w:smallCaps w:val="0"/>
          <w:strike w:val="0"/>
          <w:color w:val="000000"/>
          <w:sz w:val="19"/>
          <w:szCs w:val="19"/>
          <w:u w:val="none"/>
          <w:shd w:val="clear" w:fill="auto"/>
          <w:vertAlign w:val="baseline"/>
          <w:rtl w:val="0"/>
        </w:rPr>
        <w:t xml:space="preserve">Ekiert, G., (2021). Civil society as a threat to democracy. </w:t>
      </w:r>
      <w:r>
        <w:rPr>
          <w:rFonts w:ascii="Calibri" w:hAnsi="Calibri" w:eastAsia="Calibri" w:cs="Calibri"/>
          <w:b/>
          <w:bCs/>
          <w:i/>
          <w:iCs/>
          <w:smallCaps w:val="0"/>
          <w:strike w:val="0"/>
          <w:color w:val="000000"/>
          <w:sz w:val="19"/>
          <w:szCs w:val="19"/>
          <w:u w:val="none"/>
          <w:shd w:val="clear" w:fill="auto"/>
          <w:vertAlign w:val="baseline"/>
          <w:rtl w:val="0"/>
        </w:rPr>
        <w:t xml:space="preserve">In The power of populism and people:  Resistance and protest in the modern world </w:t>
      </w:r>
      <w:r>
        <w:rPr>
          <w:rFonts w:ascii="Calibri" w:hAnsi="Calibri" w:eastAsia="Calibri" w:cs="Calibri"/>
          <w:b/>
          <w:bCs/>
          <w:i w:val="0"/>
          <w:iCs w:val="0"/>
          <w:smallCaps w:val="0"/>
          <w:strike w:val="0"/>
          <w:color w:val="000000"/>
          <w:sz w:val="19"/>
          <w:szCs w:val="19"/>
          <w:u w:val="none"/>
          <w:shd w:val="clear" w:fill="auto"/>
          <w:vertAlign w:val="baseline"/>
          <w:rtl w:val="0"/>
        </w:rPr>
        <w:t xml:space="preserve">(pp. 53-71).  https://doi.org/10.5040/9781350211452.0007 </w:t>
      </w:r>
    </w:p>
    <w:p w14:paraId="0000006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40" w:lineRule="auto"/>
        <w:ind w:left="874" w:right="875" w:hanging="3"/>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18 </w:t>
      </w:r>
      <w:r>
        <w:rPr>
          <w:rFonts w:ascii="Calibri" w:hAnsi="Calibri" w:eastAsia="Calibri" w:cs="Calibri"/>
          <w:b/>
          <w:bCs/>
          <w:i w:val="0"/>
          <w:iCs w:val="0"/>
          <w:smallCaps w:val="0"/>
          <w:strike w:val="0"/>
          <w:color w:val="000000"/>
          <w:sz w:val="19"/>
          <w:szCs w:val="19"/>
          <w:u w:val="none"/>
          <w:shd w:val="clear" w:fill="auto"/>
          <w:vertAlign w:val="baseline"/>
          <w:rtl w:val="0"/>
        </w:rPr>
        <w:t xml:space="preserve">Pietrzyk-Reeves, D. (2022). Rethinking theoretical approaches to civil society in Central and Eastern  Europe: Toward a dynamic approach. </w:t>
      </w:r>
      <w:r>
        <w:rPr>
          <w:rFonts w:ascii="Calibri" w:hAnsi="Calibri" w:eastAsia="Calibri" w:cs="Calibri"/>
          <w:b/>
          <w:bCs/>
          <w:i/>
          <w:iCs/>
          <w:smallCaps w:val="0"/>
          <w:strike w:val="0"/>
          <w:color w:val="000000"/>
          <w:sz w:val="19"/>
          <w:szCs w:val="19"/>
          <w:u w:val="none"/>
          <w:shd w:val="clear" w:fill="auto"/>
          <w:vertAlign w:val="baseline"/>
          <w:rtl w:val="0"/>
        </w:rPr>
        <w:t>East European Politics and Societies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36</w:t>
      </w:r>
      <w:r>
        <w:rPr>
          <w:rFonts w:ascii="Calibri" w:hAnsi="Calibri" w:eastAsia="Calibri" w:cs="Calibri"/>
          <w:b/>
          <w:bCs/>
          <w:i w:val="0"/>
          <w:iCs w:val="0"/>
          <w:smallCaps w:val="0"/>
          <w:strike w:val="0"/>
          <w:color w:val="000000"/>
          <w:sz w:val="19"/>
          <w:szCs w:val="19"/>
          <w:u w:val="none"/>
          <w:shd w:val="clear" w:fill="auto"/>
          <w:vertAlign w:val="baseline"/>
          <w:rtl w:val="0"/>
        </w:rPr>
        <w:t xml:space="preserve">(4), 1335-1354.  https://doi.org/10.1177/08883254221081037 </w:t>
      </w:r>
    </w:p>
    <w:p w14:paraId="0000006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36" w:lineRule="auto"/>
        <w:ind w:left="867" w:right="886" w:firstLine="4"/>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19 </w:t>
      </w:r>
      <w:r>
        <w:rPr>
          <w:rFonts w:ascii="Calibri" w:hAnsi="Calibri" w:eastAsia="Calibri" w:cs="Calibri"/>
          <w:b/>
          <w:bCs/>
          <w:i w:val="0"/>
          <w:iCs w:val="0"/>
          <w:smallCaps w:val="0"/>
          <w:strike w:val="0"/>
          <w:color w:val="000000"/>
          <w:sz w:val="19"/>
          <w:szCs w:val="19"/>
          <w:u w:val="none"/>
          <w:shd w:val="clear" w:fill="auto"/>
          <w:vertAlign w:val="baseline"/>
          <w:rtl w:val="0"/>
        </w:rPr>
        <w:t xml:space="preserve">Baća, B. (2022). Practice theory and postsocialist civil society: Toward a new analytical framework.  </w:t>
      </w:r>
      <w:r>
        <w:rPr>
          <w:rFonts w:ascii="Calibri" w:hAnsi="Calibri" w:eastAsia="Calibri" w:cs="Calibri"/>
          <w:b/>
          <w:bCs/>
          <w:i/>
          <w:iCs/>
          <w:smallCaps w:val="0"/>
          <w:strike w:val="0"/>
          <w:color w:val="000000"/>
          <w:sz w:val="19"/>
          <w:szCs w:val="19"/>
          <w:u w:val="none"/>
          <w:shd w:val="clear" w:fill="auto"/>
          <w:vertAlign w:val="baseline"/>
          <w:rtl w:val="0"/>
        </w:rPr>
        <w:t>International Political Sociology</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16</w:t>
      </w:r>
      <w:r>
        <w:rPr>
          <w:rFonts w:ascii="Calibri" w:hAnsi="Calibri" w:eastAsia="Calibri" w:cs="Calibri"/>
          <w:b/>
          <w:bCs/>
          <w:i w:val="0"/>
          <w:iCs w:val="0"/>
          <w:smallCaps w:val="0"/>
          <w:strike w:val="0"/>
          <w:color w:val="000000"/>
          <w:sz w:val="19"/>
          <w:szCs w:val="19"/>
          <w:u w:val="none"/>
          <w:shd w:val="clear" w:fill="auto"/>
          <w:vertAlign w:val="baseline"/>
          <w:rtl w:val="0"/>
        </w:rPr>
        <w:t xml:space="preserve">(1), olab021. https://doi.org/10.1093/ips/olab021 </w:t>
      </w:r>
    </w:p>
    <w:p w14:paraId="0000006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2"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- 115 - </w:t>
      </w:r>
    </w:p>
    <w:p w14:paraId="0000006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5" w:lineRule="auto"/>
        <w:ind w:left="861" w:right="506" w:hanging="426"/>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23" name="image23.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Foa and Ekiert</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21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have a different position on the post-communist HS. The authors  point out that since the early 2000s, civil society in this region has been structurally  imperfect. At the same time, after the establishment of democracy, active, strong and  mobilized civil society movements of the transition period became much weaker</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In  the post-communist space, scholars observed divergent political trajectories, although  the structure of CS in this region was weak. Overall, the new dataset demonstrates  reveals that civil societies in CEE are stronger than traditionally assumed. Many post communist countries are quite active in the public sphere of expression. Active CSOs  closely interconnected with transnational civil society networks that are able to  influence and shape the domestic policies of these countries. Based on the study of  different models of CS, scientists found that social and civil institutions are capable to  influence the divergent transitions paths between post-communist states. Specifically,  researchers observed a widening divide between the democratic oriented countries in  CEE and the increasingly authoritarian post-Soviet region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23</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-390525</wp:posOffset>
            </wp:positionH>
            <wp:positionV relativeFrom="paragraph">
              <wp:posOffset>836930</wp:posOffset>
            </wp:positionV>
            <wp:extent cx="5988685" cy="6857365"/>
            <wp:effectExtent l="0" t="0" r="0" b="0"/>
            <wp:wrapSquare wrapText="bothSides"/>
            <wp:docPr id="20" name="image20.png"/>
            <wp:cNvGraphicFramePr/>
            <a:graphic xmlns:a="http://schemas.openxmlformats.org/drawingml/2006/main">
              <a:graphicData uri="http://schemas.openxmlformats.org/drawingml/2006/picture">
                <pic:pic xmlns:pic="http://schemas.openxmlformats.org/drawingml/2006/picture">
                  <pic:nvPicPr>
                    <pic:cNvPr id="20" name="image20.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6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4" w:lineRule="auto"/>
        <w:ind w:left="861" w:right="861"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Ishkanian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24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highlights the unintended effects of top-down democracy promotion  strategies on the growth of post-socialist society. External democracy promotion  programs have often resulted in donor-driven governance of non-governmental  organizations, which remain accountable primarily to their founders rather than to their  own communities and constituencies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25</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As Stoltzfus and Osmar</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26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point out, recent years  have witnessed the emergence of populist and authoritarian styles of governance and, in  response, a rise in popular activism. </w:t>
      </w:r>
    </w:p>
    <w:p w14:paraId="0000007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6" w:after="0" w:line="240" w:lineRule="auto"/>
        <w:ind w:left="865"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3. MATERIALS AND METHODS </w:t>
      </w:r>
    </w:p>
    <w:p w14:paraId="0000007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2" w:firstLine="574"/>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study analyzes quantitative indicators of democracy and civil society raise in  post-communist countries, specifically, examining the interrelationship between  political rights, civil liberties, and citizen engagement indexes from 1990 to 2024.  </w:t>
      </w:r>
    </w:p>
    <w:p w14:paraId="0000007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89" w:after="0" w:line="240" w:lineRule="auto"/>
        <w:ind w:left="867" w:right="875" w:hanging="1"/>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20 </w:t>
      </w:r>
      <w:r>
        <w:rPr>
          <w:rFonts w:ascii="Calibri" w:hAnsi="Calibri" w:eastAsia="Calibri" w:cs="Calibri"/>
          <w:b/>
          <w:bCs/>
          <w:i w:val="0"/>
          <w:iCs w:val="0"/>
          <w:smallCaps w:val="0"/>
          <w:strike w:val="0"/>
          <w:color w:val="000000"/>
          <w:sz w:val="19"/>
          <w:szCs w:val="19"/>
          <w:u w:val="none"/>
          <w:shd w:val="clear" w:fill="auto"/>
          <w:vertAlign w:val="baseline"/>
          <w:rtl w:val="0"/>
        </w:rPr>
        <w:t xml:space="preserve">Kákai, L., &amp; Bejma, A. (2022). Legal and practical conditions of the functioning of the civil society  organizations in Hungary and Poland. </w:t>
      </w:r>
      <w:r>
        <w:rPr>
          <w:rFonts w:ascii="Calibri" w:hAnsi="Calibri" w:eastAsia="Calibri" w:cs="Calibri"/>
          <w:b/>
          <w:bCs/>
          <w:i/>
          <w:iCs/>
          <w:smallCaps w:val="0"/>
          <w:strike w:val="0"/>
          <w:color w:val="000000"/>
          <w:sz w:val="19"/>
          <w:szCs w:val="19"/>
          <w:u w:val="none"/>
          <w:shd w:val="clear" w:fill="auto"/>
          <w:vertAlign w:val="baseline"/>
          <w:rtl w:val="0"/>
        </w:rPr>
        <w:t>Eastern Journal of European Studies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13</w:t>
      </w:r>
      <w:r>
        <w:rPr>
          <w:rFonts w:ascii="Calibri" w:hAnsi="Calibri" w:eastAsia="Calibri" w:cs="Calibri"/>
          <w:b/>
          <w:bCs/>
          <w:i w:val="0"/>
          <w:iCs w:val="0"/>
          <w:smallCaps w:val="0"/>
          <w:strike w:val="0"/>
          <w:color w:val="000000"/>
          <w:sz w:val="19"/>
          <w:szCs w:val="19"/>
          <w:u w:val="none"/>
          <w:shd w:val="clear" w:fill="auto"/>
          <w:vertAlign w:val="baseline"/>
          <w:rtl w:val="0"/>
        </w:rPr>
        <w:t xml:space="preserve">, 120-139.  https://doi.org/10.47743/ejes-2022-SI07 </w:t>
      </w:r>
    </w:p>
    <w:p w14:paraId="0000007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53" w:lineRule="auto"/>
        <w:ind w:left="854" w:right="875" w:firstLine="12"/>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21 </w:t>
      </w:r>
      <w:r>
        <w:rPr>
          <w:rFonts w:ascii="Calibri" w:hAnsi="Calibri" w:eastAsia="Calibri" w:cs="Calibri"/>
          <w:b/>
          <w:bCs/>
          <w:i w:val="0"/>
          <w:iCs w:val="0"/>
          <w:smallCaps w:val="0"/>
          <w:strike w:val="0"/>
          <w:color w:val="000000"/>
          <w:sz w:val="19"/>
          <w:szCs w:val="19"/>
          <w:u w:val="none"/>
          <w:shd w:val="clear" w:fill="auto"/>
          <w:vertAlign w:val="baseline"/>
          <w:rtl w:val="0"/>
        </w:rPr>
        <w:t xml:space="preserve">Foa, R. S., &amp; Ekiert, G. (2016). The weakness of postcommunist civil society reassessed. </w:t>
      </w:r>
      <w:r>
        <w:rPr>
          <w:rFonts w:ascii="Calibri" w:hAnsi="Calibri" w:eastAsia="Calibri" w:cs="Calibri"/>
          <w:b/>
          <w:bCs/>
          <w:i/>
          <w:iCs/>
          <w:smallCaps w:val="0"/>
          <w:strike w:val="0"/>
          <w:color w:val="000000"/>
          <w:sz w:val="19"/>
          <w:szCs w:val="19"/>
          <w:u w:val="none"/>
          <w:shd w:val="clear" w:fill="auto"/>
          <w:vertAlign w:val="baseline"/>
          <w:rtl w:val="0"/>
        </w:rPr>
        <w:t>European  Journal of Political Research</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56</w:t>
      </w:r>
      <w:r>
        <w:rPr>
          <w:rFonts w:ascii="Calibri" w:hAnsi="Calibri" w:eastAsia="Calibri" w:cs="Calibri"/>
          <w:b/>
          <w:bCs/>
          <w:i w:val="0"/>
          <w:iCs w:val="0"/>
          <w:smallCaps w:val="0"/>
          <w:strike w:val="0"/>
          <w:color w:val="000000"/>
          <w:sz w:val="19"/>
          <w:szCs w:val="19"/>
          <w:u w:val="none"/>
          <w:shd w:val="clear" w:fill="auto"/>
          <w:vertAlign w:val="baseline"/>
          <w:rtl w:val="0"/>
        </w:rPr>
        <w:t xml:space="preserve">(2), 419-439. https://doi.org/10.1111/1475-6765.12182  </w:t>
      </w:r>
      <w:r>
        <w:rPr>
          <w:rFonts w:ascii="Calibri" w:hAnsi="Calibri" w:eastAsia="Calibri" w:cs="Calibri"/>
          <w:b/>
          <w:bCs/>
          <w:i w:val="0"/>
          <w:iCs w:val="0"/>
          <w:smallCaps w:val="0"/>
          <w:strike w:val="0"/>
          <w:color w:val="000000"/>
          <w:sz w:val="21"/>
          <w:szCs w:val="21"/>
          <w:u w:val="none"/>
          <w:shd w:val="clear" w:fill="auto"/>
          <w:vertAlign w:val="superscript"/>
          <w:rtl w:val="0"/>
        </w:rPr>
        <w:t xml:space="preserve">22 </w:t>
      </w:r>
      <w:r>
        <w:rPr>
          <w:rFonts w:ascii="Calibri" w:hAnsi="Calibri" w:eastAsia="Calibri" w:cs="Calibri"/>
          <w:b/>
          <w:bCs/>
          <w:i w:val="0"/>
          <w:iCs w:val="0"/>
          <w:smallCaps w:val="0"/>
          <w:strike w:val="0"/>
          <w:color w:val="000000"/>
          <w:sz w:val="19"/>
          <w:szCs w:val="19"/>
          <w:u w:val="none"/>
          <w:shd w:val="clear" w:fill="auto"/>
          <w:vertAlign w:val="baseline"/>
          <w:rtl w:val="0"/>
        </w:rPr>
        <w:t xml:space="preserve">Ost, D. (2012). The decline of civil society after </w:t>
      </w:r>
      <w:r>
        <w:rPr>
          <w:rFonts w:ascii="Times New Roman" w:hAnsi="Times New Roman" w:eastAsia="Times New Roman" w:cs="Times New Roman"/>
          <w:b/>
          <w:bCs/>
          <w:i w:val="0"/>
          <w:iCs w:val="0"/>
          <w:smallCaps w:val="0"/>
          <w:strike w:val="0"/>
          <w:color w:val="000000"/>
          <w:sz w:val="19"/>
          <w:szCs w:val="19"/>
          <w:u w:val="none"/>
          <w:shd w:val="clear" w:fill="auto"/>
          <w:vertAlign w:val="baseline"/>
          <w:rtl w:val="0"/>
        </w:rPr>
        <w:t>‘</w:t>
      </w:r>
      <w:r>
        <w:rPr>
          <w:rFonts w:ascii="Calibri" w:hAnsi="Calibri" w:eastAsia="Calibri" w:cs="Calibri"/>
          <w:b/>
          <w:bCs/>
          <w:i w:val="0"/>
          <w:iCs w:val="0"/>
          <w:smallCaps w:val="0"/>
          <w:strike w:val="0"/>
          <w:color w:val="000000"/>
          <w:sz w:val="19"/>
          <w:szCs w:val="19"/>
          <w:u w:val="none"/>
          <w:shd w:val="clear" w:fill="auto"/>
          <w:vertAlign w:val="baseline"/>
          <w:rtl w:val="0"/>
        </w:rPr>
        <w:t xml:space="preserve">post-communism’. In </w:t>
      </w:r>
      <w:r>
        <w:rPr>
          <w:rFonts w:ascii="Calibri" w:hAnsi="Calibri" w:eastAsia="Calibri" w:cs="Calibri"/>
          <w:b/>
          <w:bCs/>
          <w:i/>
          <w:iCs/>
          <w:smallCaps w:val="0"/>
          <w:strike w:val="0"/>
          <w:color w:val="000000"/>
          <w:sz w:val="19"/>
          <w:szCs w:val="19"/>
          <w:u w:val="none"/>
          <w:shd w:val="clear" w:fill="auto"/>
          <w:vertAlign w:val="baseline"/>
          <w:rtl w:val="0"/>
        </w:rPr>
        <w:t xml:space="preserve">The new politics of European  civil society </w:t>
      </w:r>
      <w:r>
        <w:rPr>
          <w:rFonts w:ascii="Calibri" w:hAnsi="Calibri" w:eastAsia="Calibri" w:cs="Calibri"/>
          <w:b/>
          <w:bCs/>
          <w:i w:val="0"/>
          <w:iCs w:val="0"/>
          <w:smallCaps w:val="0"/>
          <w:strike w:val="0"/>
          <w:color w:val="000000"/>
          <w:sz w:val="19"/>
          <w:szCs w:val="19"/>
          <w:u w:val="none"/>
          <w:shd w:val="clear" w:fill="auto"/>
          <w:vertAlign w:val="baseline"/>
          <w:rtl w:val="0"/>
        </w:rPr>
        <w:t xml:space="preserve">(pp. 163-177). Routledge.  https://www.taylorfrancis.com/chapters/edit/10.4324/9780203836682-12/decline-civil-society-post communism-david-ost </w:t>
      </w:r>
    </w:p>
    <w:p w14:paraId="0000007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6" w:after="0" w:line="240" w:lineRule="auto"/>
        <w:ind w:left="867"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23 </w:t>
      </w:r>
      <w:r>
        <w:rPr>
          <w:rFonts w:ascii="Calibri" w:hAnsi="Calibri" w:eastAsia="Calibri" w:cs="Calibri"/>
          <w:b/>
          <w:bCs/>
          <w:i w:val="0"/>
          <w:iCs w:val="0"/>
          <w:smallCaps w:val="0"/>
          <w:strike w:val="0"/>
          <w:color w:val="000000"/>
          <w:sz w:val="19"/>
          <w:szCs w:val="19"/>
          <w:u w:val="none"/>
          <w:shd w:val="clear" w:fill="auto"/>
          <w:vertAlign w:val="baseline"/>
          <w:rtl w:val="0"/>
        </w:rPr>
        <w:t xml:space="preserve">Foa, R. S., &amp; Ekiert, G. (2016).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7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62" w:lineRule="auto"/>
        <w:ind w:left="867" w:right="875"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24 </w:t>
      </w:r>
      <w:r>
        <w:rPr>
          <w:rFonts w:ascii="Calibri" w:hAnsi="Calibri" w:eastAsia="Calibri" w:cs="Calibri"/>
          <w:b/>
          <w:bCs/>
          <w:i w:val="0"/>
          <w:iCs w:val="0"/>
          <w:smallCaps w:val="0"/>
          <w:strike w:val="0"/>
          <w:color w:val="000000"/>
          <w:sz w:val="19"/>
          <w:szCs w:val="19"/>
          <w:u w:val="none"/>
          <w:shd w:val="clear" w:fill="auto"/>
          <w:vertAlign w:val="baseline"/>
          <w:rtl w:val="0"/>
        </w:rPr>
        <w:t xml:space="preserve">Ishkanian, A. (2014). Engineered civil society: The impact of 20 years of democracy promotion on  civil society development in former soviet countries. In </w:t>
      </w:r>
      <w:r>
        <w:rPr>
          <w:rFonts w:ascii="Calibri" w:hAnsi="Calibri" w:eastAsia="Calibri" w:cs="Calibri"/>
          <w:b/>
          <w:bCs/>
          <w:i/>
          <w:iCs/>
          <w:smallCaps w:val="0"/>
          <w:strike w:val="0"/>
          <w:color w:val="000000"/>
          <w:sz w:val="19"/>
          <w:szCs w:val="19"/>
          <w:u w:val="none"/>
          <w:shd w:val="clear" w:fill="auto"/>
          <w:vertAlign w:val="baseline"/>
          <w:rtl w:val="0"/>
        </w:rPr>
        <w:t xml:space="preserve">Civil society and democracy promotion </w:t>
      </w:r>
      <w:r>
        <w:rPr>
          <w:rFonts w:ascii="Calibri" w:hAnsi="Calibri" w:eastAsia="Calibri" w:cs="Calibri"/>
          <w:b/>
          <w:bCs/>
          <w:i w:val="0"/>
          <w:iCs w:val="0"/>
          <w:smallCaps w:val="0"/>
          <w:strike w:val="0"/>
          <w:color w:val="000000"/>
          <w:sz w:val="19"/>
          <w:szCs w:val="19"/>
          <w:u w:val="none"/>
          <w:shd w:val="clear" w:fill="auto"/>
          <w:vertAlign w:val="baseline"/>
          <w:rtl w:val="0"/>
        </w:rPr>
        <w:t xml:space="preserve">(pp.  150-170). London: Palgrave Macmillan UK. https://doi.org/10.1057/9781137291097_8 </w:t>
      </w:r>
      <w:r>
        <w:rPr>
          <w:rFonts w:ascii="Calibri" w:hAnsi="Calibri" w:eastAsia="Calibri" w:cs="Calibri"/>
          <w:b/>
          <w:bCs/>
          <w:i w:val="0"/>
          <w:iCs w:val="0"/>
          <w:smallCaps w:val="0"/>
          <w:strike w:val="0"/>
          <w:color w:val="000000"/>
          <w:sz w:val="21"/>
          <w:szCs w:val="21"/>
          <w:u w:val="none"/>
          <w:shd w:val="clear" w:fill="auto"/>
          <w:vertAlign w:val="superscript"/>
          <w:rtl w:val="0"/>
        </w:rPr>
        <w:t xml:space="preserve">25 </w:t>
      </w:r>
      <w:r>
        <w:rPr>
          <w:rFonts w:ascii="Calibri" w:hAnsi="Calibri" w:eastAsia="Calibri" w:cs="Calibri"/>
          <w:b/>
          <w:bCs/>
          <w:i w:val="0"/>
          <w:iCs w:val="0"/>
          <w:smallCaps w:val="0"/>
          <w:strike w:val="0"/>
          <w:color w:val="000000"/>
          <w:sz w:val="19"/>
          <w:szCs w:val="19"/>
          <w:u w:val="none"/>
          <w:shd w:val="clear" w:fill="auto"/>
          <w:vertAlign w:val="baseline"/>
          <w:rtl w:val="0"/>
        </w:rPr>
        <w:t xml:space="preserve">Ishkanian, A. (2014).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7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6" w:after="0" w:line="236" w:lineRule="auto"/>
        <w:ind w:left="865" w:right="882" w:firstLine="1"/>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26 </w:t>
      </w:r>
      <w:r>
        <w:rPr>
          <w:rFonts w:ascii="Calibri" w:hAnsi="Calibri" w:eastAsia="Calibri" w:cs="Calibri"/>
          <w:b/>
          <w:bCs/>
          <w:i w:val="0"/>
          <w:iCs w:val="0"/>
          <w:smallCaps w:val="0"/>
          <w:strike w:val="0"/>
          <w:color w:val="000000"/>
          <w:sz w:val="19"/>
          <w:szCs w:val="19"/>
          <w:u w:val="none"/>
          <w:shd w:val="clear" w:fill="auto"/>
          <w:vertAlign w:val="baseline"/>
          <w:rtl w:val="0"/>
        </w:rPr>
        <w:t xml:space="preserve">Stoltzfus, N., &amp; Osmar, C. (2021). </w:t>
      </w:r>
      <w:r>
        <w:rPr>
          <w:rFonts w:ascii="Calibri" w:hAnsi="Calibri" w:eastAsia="Calibri" w:cs="Calibri"/>
          <w:b/>
          <w:bCs/>
          <w:i/>
          <w:iCs/>
          <w:smallCaps w:val="0"/>
          <w:strike w:val="0"/>
          <w:color w:val="000000"/>
          <w:sz w:val="19"/>
          <w:szCs w:val="19"/>
          <w:u w:val="none"/>
          <w:shd w:val="clear" w:fill="auto"/>
          <w:vertAlign w:val="baseline"/>
          <w:rtl w:val="0"/>
        </w:rPr>
        <w:t xml:space="preserve">The power of populism and people: Resistance and protest in the  modern world. </w:t>
      </w:r>
      <w:r>
        <w:rPr>
          <w:rFonts w:ascii="Calibri" w:hAnsi="Calibri" w:eastAsia="Calibri" w:cs="Calibri"/>
          <w:b/>
          <w:bCs/>
          <w:i w:val="0"/>
          <w:iCs w:val="0"/>
          <w:smallCaps w:val="0"/>
          <w:strike w:val="0"/>
          <w:color w:val="000000"/>
          <w:sz w:val="19"/>
          <w:szCs w:val="19"/>
          <w:u w:val="none"/>
          <w:shd w:val="clear" w:fill="auto"/>
          <w:vertAlign w:val="baseline"/>
          <w:rtl w:val="0"/>
        </w:rPr>
        <w:t>London: Bloomsbury Academic. https://doi.org/10.5040/9781350211452</w:t>
      </w:r>
    </w:p>
    <w:p w14:paraId="0000007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2"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- 116 - </w:t>
      </w:r>
    </w:p>
    <w:p w14:paraId="0000007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21" name="image21.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24" name="image24.png"/>
            <wp:cNvGraphicFramePr/>
            <a:graphic xmlns:a="http://schemas.openxmlformats.org/drawingml/2006/main">
              <a:graphicData uri="http://schemas.openxmlformats.org/drawingml/2006/picture">
                <pic:pic xmlns:pic="http://schemas.openxmlformats.org/drawingml/2006/picture">
                  <pic:nvPicPr>
                    <pic:cNvPr id="24" name="image24.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7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3" w:right="860" w:firstLine="56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For the comparative analysis of post-communist countries by the level of  democratization and their clustering, the Political Rights Index (A) and the Civil  Liberties Index (B) for 2024, which are available in the Variety of Democracy database  (V-Dem Institute, n.d.), were used. Given that the values of these indices were  normalized from 0 to 1, the k-means clustering method based on the average value  allowed us to identify countries with a high level of democratization, countries with  transitional/hybrid political regimes, and countries with authoritarian regimes.  </w:t>
      </w:r>
    </w:p>
    <w:p w14:paraId="0000007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7" w:lineRule="auto"/>
        <w:ind w:left="863" w:right="860"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To assess the development of civil society and its contribution in democratic  change, the following indices were used: The Civil Society Participation Index to assess  the level of citizens’ involvement in civic organizations, women’s participation, and  consultations with non-profit organizations; the Civil Liberties Index; the Deliberative  Democracy Index; and the Electoral Democracy Index (Table 1). The scores of the  respective Indices are available in the Variety of Democracy database</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27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for 1990-2024.  Researchers computed the average Index scores for 1990-2024 to classify post communist countries and compare them based on the level of development of the CS.  As a result, paper identify countries with a three level of civil society development: low  level (scores of 0 – 0.3), an average level (scores of 0.31 – 0.6), and a high level (scores  of more than 0.61 – 1).  </w:t>
      </w:r>
    </w:p>
    <w:p w14:paraId="0000007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 w:after="0" w:line="229" w:lineRule="auto"/>
        <w:ind w:left="869" w:right="861" w:firstLine="566"/>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CCSI Civil Society Index assesses the level of autonomy, resilience of  society, citizen engagement, and interaction with the authorities at the national/local  level of government to achieve their own interests and collective goals. </w:t>
      </w:r>
    </w:p>
    <w:p w14:paraId="0000007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2" w:after="0" w:line="240" w:lineRule="auto"/>
        <w:ind w:left="869"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Table 1. Democracy and Civil Society Indices </w:t>
      </w:r>
    </w:p>
    <w:tbl>
      <w:tblPr>
        <w:tblStyle w:val="14"/>
        <w:tblW w:w="7935" w:type="dxa"/>
        <w:tblInd w:w="114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3871"/>
        <w:gridCol w:w="4064"/>
      </w:tblGrid>
      <w:tr w14:paraId="23BAB90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43" w:hRule="atLeast"/>
        </w:trPr>
        <w:tc>
          <w:tcPr>
            <w:shd w:val="clear" w:color="auto" w:fill="auto"/>
            <w:tcMar>
              <w:top w:w="100" w:type="dxa"/>
              <w:left w:w="100" w:type="dxa"/>
              <w:bottom w:w="100" w:type="dxa"/>
              <w:right w:w="100" w:type="dxa"/>
            </w:tcMar>
            <w:vAlign w:val="top"/>
          </w:tcPr>
          <w:p w14:paraId="0000007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7"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Index </w:t>
            </w:r>
          </w:p>
        </w:tc>
        <w:tc>
          <w:tcPr>
            <w:shd w:val="clear" w:color="auto" w:fill="auto"/>
            <w:tcMar>
              <w:top w:w="100" w:type="dxa"/>
              <w:left w:w="100" w:type="dxa"/>
              <w:bottom w:w="100" w:type="dxa"/>
              <w:right w:w="100" w:type="dxa"/>
            </w:tcMar>
            <w:vAlign w:val="top"/>
          </w:tcPr>
          <w:p w14:paraId="0000007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Characteristics and significance</w:t>
            </w:r>
          </w:p>
        </w:tc>
      </w:tr>
      <w:tr w14:paraId="68186E1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377" w:hRule="atLeast"/>
        </w:trPr>
        <w:tc>
          <w:tcPr>
            <w:shd w:val="clear" w:color="auto" w:fill="auto"/>
            <w:tcMar>
              <w:top w:w="100" w:type="dxa"/>
              <w:left w:w="100" w:type="dxa"/>
              <w:bottom w:w="100" w:type="dxa"/>
              <w:right w:w="100" w:type="dxa"/>
            </w:tcMar>
            <w:vAlign w:val="top"/>
          </w:tcPr>
          <w:p w14:paraId="0000007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1" w:right="-5" w:firstLine="9"/>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Civil Society Participation Index (0 – low, 1 – high) represents point estimates derived from a Bayesian factor analysis model. It incorporate indicators such as selection of legislative bodies at both national and local levels, consultation with CSOs, the environment for CSO participation, and participation of women in CSOs</w:t>
            </w:r>
          </w:p>
        </w:tc>
        <w:tc>
          <w:tcPr>
            <w:shd w:val="clear" w:color="auto" w:fill="auto"/>
            <w:tcMar>
              <w:top w:w="100" w:type="dxa"/>
              <w:left w:w="100" w:type="dxa"/>
              <w:bottom w:w="100" w:type="dxa"/>
              <w:right w:w="100" w:type="dxa"/>
            </w:tcMar>
            <w:vAlign w:val="top"/>
          </w:tcPr>
          <w:p w14:paraId="0000008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0" w:lineRule="auto"/>
              <w:ind w:left="63" w:right="-4" w:firstLine="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Regularity of consultations of politicians with major civil society organizations, level of public participation in CSOs, </w:t>
            </w:r>
          </w:p>
          <w:p w14:paraId="0000008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restriction or support of women’s </w:t>
            </w:r>
          </w:p>
          <w:p w14:paraId="0000008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participation in CSOs, extend to which </w:t>
            </w:r>
          </w:p>
          <w:p w14:paraId="0000008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candidates nominations for legislative </w:t>
            </w:r>
          </w:p>
          <w:p w14:paraId="0000008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62"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bodies </w:t>
            </w:r>
          </w:p>
          <w:p w14:paraId="0000008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An indicator of the civil society </w:t>
            </w:r>
          </w:p>
          <w:p w14:paraId="0000008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sustainability, its level of independence </w:t>
            </w:r>
          </w:p>
          <w:p w14:paraId="0000008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8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70" w:right="-3" w:firstLine="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from central government, the activity and freedom of citizens in achieving civic/political goals</w:t>
            </w:r>
          </w:p>
        </w:tc>
      </w:tr>
      <w:tr w14:paraId="0A8718A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1723" w:hRule="atLeast"/>
        </w:trPr>
        <w:tc>
          <w:tcPr>
            <w:shd w:val="clear" w:color="auto" w:fill="auto"/>
            <w:tcMar>
              <w:top w:w="100" w:type="dxa"/>
              <w:left w:w="100" w:type="dxa"/>
              <w:bottom w:w="100" w:type="dxa"/>
              <w:right w:w="100" w:type="dxa"/>
            </w:tcMar>
            <w:vAlign w:val="top"/>
          </w:tcPr>
          <w:p w14:paraId="0000008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0" w:lineRule="auto"/>
              <w:ind w:left="61" w:right="-6" w:firstLine="9"/>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Civil liberties index (0 – low, 1 – high): reflects the average value of the political civil liberties index, the physical violence index, and the private civil liberties index</w:t>
            </w:r>
          </w:p>
        </w:tc>
        <w:tc>
          <w:tcPr>
            <w:shd w:val="clear" w:color="auto" w:fill="auto"/>
            <w:tcMar>
              <w:top w:w="100" w:type="dxa"/>
              <w:left w:w="100" w:type="dxa"/>
              <w:bottom w:w="100" w:type="dxa"/>
              <w:right w:w="100" w:type="dxa"/>
            </w:tcMar>
            <w:vAlign w:val="top"/>
          </w:tcPr>
          <w:p w14:paraId="0000009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3" w:right="-4" w:firstLine="3"/>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Liberal freedom refers to individual rights characterized by the absence of state-inflicted physical violence and the </w:t>
            </w:r>
          </w:p>
          <w:p w14:paraId="0000009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lack of limitations on private and </w:t>
            </w:r>
          </w:p>
          <w:p w14:paraId="0000009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61"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political freedoms </w:t>
            </w:r>
          </w:p>
          <w:p w14:paraId="0000009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level of restrictions on citizens by </w:t>
            </w:r>
          </w:p>
        </w:tc>
      </w:tr>
    </w:tbl>
    <w:p w14:paraId="0000009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9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9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6"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7"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1" w:after="0" w:line="240" w:lineRule="auto"/>
        <w:ind w:left="0" w:right="1205"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9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7"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09"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7"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6"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1"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40" w:after="0" w:line="236" w:lineRule="auto"/>
        <w:ind w:left="869" w:right="927" w:hanging="1"/>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27 </w:t>
      </w:r>
      <w:r>
        <w:rPr>
          <w:rFonts w:ascii="Calibri" w:hAnsi="Calibri" w:eastAsia="Calibri" w:cs="Calibri"/>
          <w:b/>
          <w:bCs/>
          <w:i w:val="0"/>
          <w:iCs w:val="0"/>
          <w:smallCaps w:val="0"/>
          <w:strike w:val="0"/>
          <w:color w:val="000000"/>
          <w:sz w:val="19"/>
          <w:szCs w:val="19"/>
          <w:u w:val="none"/>
          <w:shd w:val="clear" w:fill="auto"/>
          <w:vertAlign w:val="baseline"/>
          <w:rtl w:val="0"/>
        </w:rPr>
        <w:t>V-Dem Institute. (n.d.). V-Dem Yearly Variable Graph Tool. https://v dem.net/data_analysis/VariableGraph/</w:t>
      </w:r>
    </w:p>
    <w:p w14:paraId="000000A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2"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- 117 - </w:t>
      </w:r>
    </w:p>
    <w:p w14:paraId="000000A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25" name="image25.png"/>
                    <pic:cNvPicPr preferRelativeResize="0"/>
                  </pic:nvPicPr>
                  <pic:blipFill>
                    <a:blip r:embed="rId16"/>
                    <a:srcRect/>
                    <a:stretch>
                      <a:fillRect/>
                    </a:stretch>
                  </pic:blipFill>
                  <pic:spPr>
                    <a:xfrm>
                      <a:off x="0" y="0"/>
                      <a:ext cx="5935980" cy="722630"/>
                    </a:xfrm>
                    <a:prstGeom prst="rect">
                      <a:avLst/>
                    </a:prstGeom>
                  </pic:spPr>
                </pic:pic>
              </a:graphicData>
            </a:graphic>
          </wp:inline>
        </w:drawing>
      </w:r>
    </w:p>
    <w:tbl>
      <w:tblPr>
        <w:tblStyle w:val="15"/>
        <w:tblW w:w="7935" w:type="dxa"/>
        <w:tblInd w:w="114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3871"/>
        <w:gridCol w:w="4064"/>
      </w:tblGrid>
      <w:tr w14:paraId="461ABA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43" w:hRule="atLeast"/>
        </w:trPr>
        <w:tc>
          <w:tcPr>
            <w:shd w:val="clear" w:color="auto" w:fill="auto"/>
            <w:tcMar>
              <w:top w:w="100" w:type="dxa"/>
              <w:left w:w="100" w:type="dxa"/>
              <w:bottom w:w="100" w:type="dxa"/>
              <w:right w:w="100" w:type="dxa"/>
            </w:tcMar>
            <w:vAlign w:val="top"/>
          </w:tcPr>
          <w:p w14:paraId="000000A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p>
        </w:tc>
        <w:tc>
          <w:tcPr>
            <w:shd w:val="clear" w:color="auto" w:fill="auto"/>
            <w:tcMar>
              <w:top w:w="100" w:type="dxa"/>
              <w:left w:w="100" w:type="dxa"/>
              <w:bottom w:w="100" w:type="dxa"/>
              <w:right w:w="100" w:type="dxa"/>
            </w:tcMar>
            <w:vAlign w:val="top"/>
          </w:tcPr>
          <w:p w14:paraId="000000A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the authorities</w:t>
            </w:r>
          </w:p>
        </w:tc>
      </w:tr>
      <w:tr w14:paraId="626157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548" w:hRule="atLeast"/>
        </w:trPr>
        <w:tc>
          <w:tcPr>
            <w:shd w:val="clear" w:color="auto" w:fill="auto"/>
            <w:tcMar>
              <w:top w:w="100" w:type="dxa"/>
              <w:left w:w="100" w:type="dxa"/>
              <w:bottom w:w="100" w:type="dxa"/>
              <w:right w:w="100" w:type="dxa"/>
            </w:tcMar>
            <w:vAlign w:val="top"/>
          </w:tcPr>
          <w:p w14:paraId="000000A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9" w:right="-5" w:hanging="3"/>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Deliberative Democracy Index (0 = low, 1 = high): The index is aggregated to include the electoral democracy indicator</w:t>
            </w:r>
          </w:p>
        </w:tc>
        <w:tc>
          <w:tcPr>
            <w:shd w:val="clear" w:color="auto" w:fill="auto"/>
            <w:tcMar>
              <w:top w:w="100" w:type="dxa"/>
              <w:left w:w="100" w:type="dxa"/>
              <w:bottom w:w="100" w:type="dxa"/>
              <w:right w:w="100" w:type="dxa"/>
            </w:tcMar>
            <w:vAlign w:val="top"/>
          </w:tcPr>
          <w:p w14:paraId="000000A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1" w:right="-6" w:firstLine="6"/>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It characterizes decision-making processes in the state system; </w:t>
            </w:r>
          </w:p>
          <w:p w14:paraId="000000A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A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deliberative processes mean the focus of </w:t>
            </w:r>
          </w:p>
          <w:p w14:paraId="000000B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61" w:right="-4" w:hanging="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public thinking on the common good, motivation for political decisions in favor of citizens </w:t>
            </w:r>
          </w:p>
          <w:p w14:paraId="000000B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8" w:lineRule="auto"/>
              <w:ind w:left="69" w:right="-5" w:firstLine="0"/>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Taking into account the interests of citizens in the implementation of governance</w:t>
            </w:r>
          </w:p>
        </w:tc>
      </w:tr>
      <w:tr w14:paraId="34546F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103" w:hRule="atLeast"/>
        </w:trPr>
        <w:tc>
          <w:tcPr>
            <w:shd w:val="clear" w:color="auto" w:fill="auto"/>
            <w:tcMar>
              <w:top w:w="100" w:type="dxa"/>
              <w:left w:w="100" w:type="dxa"/>
              <w:bottom w:w="100" w:type="dxa"/>
              <w:right w:w="100" w:type="dxa"/>
            </w:tcMar>
            <w:vAlign w:val="top"/>
          </w:tcPr>
          <w:p w14:paraId="000000B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0" w:right="-6" w:firstLine="6"/>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Electoral democracy index (0 – low, 1 – high): calculated as an average and weighted average to aggregate indices characterizing association freedom, speech freedom, fair elections, public chosen representatives and voting right</w:t>
            </w:r>
          </w:p>
        </w:tc>
        <w:tc>
          <w:tcPr>
            <w:shd w:val="clear" w:color="auto" w:fill="auto"/>
            <w:tcMar>
              <w:top w:w="100" w:type="dxa"/>
              <w:left w:w="100" w:type="dxa"/>
              <w:bottom w:w="100" w:type="dxa"/>
              <w:right w:w="100" w:type="dxa"/>
            </w:tcMar>
            <w:vAlign w:val="top"/>
          </w:tcPr>
          <w:p w14:paraId="000000B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0" w:lineRule="auto"/>
              <w:ind w:left="70" w:right="-4" w:hanging="3"/>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Electoral democracy is seen as a component of deliberative democracy </w:t>
            </w:r>
          </w:p>
          <w:p w14:paraId="000000B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level of consideration of citizens’ </w:t>
            </w:r>
          </w:p>
          <w:p w14:paraId="000000B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opinions by the government, which is </w:t>
            </w:r>
          </w:p>
          <w:p w14:paraId="000000B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achieved through electoral competition </w:t>
            </w:r>
          </w:p>
          <w:p w14:paraId="000000B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for the approval of the electorate, </w:t>
            </w:r>
          </w:p>
          <w:p w14:paraId="000000B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B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61" w:right="-7" w:hanging="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provided that the electoral law is sufficient, political and public associations are free to act, and there is no electoral fraud or systematic violations</w:t>
            </w:r>
          </w:p>
        </w:tc>
      </w:tr>
    </w:tbl>
    <w:p w14:paraId="000000B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C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0C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204"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-5612765</wp:posOffset>
            </wp:positionH>
            <wp:positionV relativeFrom="paragraph">
              <wp:posOffset>-252095</wp:posOffset>
            </wp:positionV>
            <wp:extent cx="5988685" cy="6857365"/>
            <wp:effectExtent l="0" t="0" r="0" b="0"/>
            <wp:wrapSquare wrapText="bothSides"/>
            <wp:docPr id="26" name="image26.png"/>
            <wp:cNvGraphicFramePr/>
            <a:graphic xmlns:a="http://schemas.openxmlformats.org/drawingml/2006/main">
              <a:graphicData uri="http://schemas.openxmlformats.org/drawingml/2006/picture">
                <pic:pic xmlns:pic="http://schemas.openxmlformats.org/drawingml/2006/picture">
                  <pic:nvPicPr>
                    <pic:cNvPr id="26" name="image26.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C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5"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7"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1" w:after="0" w:line="240" w:lineRule="auto"/>
        <w:ind w:left="0" w:right="1205"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3"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09"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2"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7"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6"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C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3"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D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 w:after="0" w:line="240" w:lineRule="auto"/>
        <w:ind w:left="0" w:right="1205"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0D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877" w:right="0" w:firstLine="0"/>
        <w:jc w:val="left"/>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Source: summarized by the author of V-Dem Institute</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28</w:t>
      </w:r>
    </w:p>
    <w:p w14:paraId="000000D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69" w:after="0" w:line="229" w:lineRule="auto"/>
        <w:ind w:left="864" w:right="862" w:firstLine="57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Civil Liberties Index is used to assess the level of restrictions on citizens by  the authorities, including private and political freedom. The Deliberative Democracy  Index measures how well politician’s decision serve the interests of citizens and the  consideration of their interests in public administration. The Electoral Democracy Index  complements previous assessments of a country’s democracy by determining the level  of consideration by the government of the civil society opinions, with regard to free  elections and the activities of political and public associations. </w:t>
      </w:r>
    </w:p>
    <w:p w14:paraId="000000D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1" w:after="0" w:line="240" w:lineRule="auto"/>
        <w:ind w:left="868"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4. RESULTS </w:t>
      </w:r>
    </w:p>
    <w:p w14:paraId="000000D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0" w:firstLine="56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Universal human value priorities are the fundamental higher principles for  ensuring the development of democracy, national economy, European integration and  political and economic convergence of countries. The introduction of democratic  institutional changes and principles through the processes of European integration,  liberalization, democratization, and competition have a positive impact on the  participation of citizens in social development. The fundamental values of democracy,  freedom, human rights, and social equality are more widespread in free countries, which  ensures high involvement of citizens in the political life of the country. </w:t>
      </w:r>
    </w:p>
    <w:p w14:paraId="000000D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8" w:lineRule="auto"/>
        <w:ind w:left="866" w:right="863" w:firstLine="569"/>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level of freedom and democracy in the CEE countries, the Baltic States, the  Balkan countries, and post-Soviet countries is significantly differentiated depending on the  depth of democratic reforms, participation in European integration processes, the  </w:t>
      </w:r>
    </w:p>
    <w:p w14:paraId="000000D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74" w:after="0" w:line="240" w:lineRule="auto"/>
        <w:ind w:left="867"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28 </w:t>
      </w:r>
      <w:r>
        <w:rPr>
          <w:rFonts w:ascii="Calibri" w:hAnsi="Calibri" w:eastAsia="Calibri" w:cs="Calibri"/>
          <w:b/>
          <w:bCs/>
          <w:i w:val="0"/>
          <w:iCs w:val="0"/>
          <w:smallCaps w:val="0"/>
          <w:strike w:val="0"/>
          <w:color w:val="000000"/>
          <w:sz w:val="19"/>
          <w:szCs w:val="19"/>
          <w:u w:val="none"/>
          <w:shd w:val="clear" w:fill="auto"/>
          <w:vertAlign w:val="baseline"/>
          <w:rtl w:val="0"/>
        </w:rPr>
        <w:t xml:space="preserve">V-Dem Institute. (n.d.).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0D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- 118 - </w:t>
      </w:r>
    </w:p>
    <w:p w14:paraId="000000D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30" name="image30.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31" name="image31.png"/>
            <wp:cNvGraphicFramePr/>
            <a:graphic xmlns:a="http://schemas.openxmlformats.org/drawingml/2006/main">
              <a:graphicData uri="http://schemas.openxmlformats.org/drawingml/2006/picture">
                <pic:pic xmlns:pic="http://schemas.openxmlformats.org/drawingml/2006/picture">
                  <pic:nvPicPr>
                    <pic:cNvPr id="31" name="image31.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D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2" w:firstLine="9"/>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effectiveness and efficiency of public administration institutions, foreign and domestic  policy, and the level of civic influence on democratization processes. These factors have  determined the establishment of post-communist countries as liberal democracies, the  degree of authoritarianism, or the duration of the transition to a democratic political regime. </w:t>
      </w:r>
    </w:p>
    <w:p w14:paraId="000000D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345" w:lineRule="auto"/>
        <w:ind w:left="863" w:right="860" w:firstLine="57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sectPr>
          <w:pgSz w:w="11900" w:h="16820"/>
          <w:pgMar w:top="835" w:right="770" w:bottom="893" w:left="840" w:header="0" w:footer="720" w:gutter="0"/>
          <w:pgNumType w:start="1"/>
          <w:cols w:space="720" w:num="1"/>
        </w:sect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results of clustering countries by level of democracy show that Estonia, Lithuania, the Czech Republic, Slovakia, Latvia (A and B) have the highest scores for  freedom, and Poland, Romania, and Croatia have consistently high scores (Figure 1).  These countries have a high degree of political rights and civil liberties. After the 1990s,  the Civil Society Participation Index in Lithuania, Latvia, and Estonia increased from a  value of 0.08 in 1990 to 0.64 in 2024. In Romania, the index was 0.58 in 1990, reaching  0.8 in 2015 and decreasing to 0.53 in 2024. Poland had the highest Civil Society  Participation Index in the early 1990s, reaching 0.86 in 1990 and declining to 0.71 in  2024. In general, Estonia and Poland have stable democratic institutions and active civil  society. </w:t>
      </w:r>
    </w:p>
    <w:p w14:paraId="000000D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07" w:after="0" w:line="240"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26"/>
          <w:szCs w:val="26"/>
          <w:u w:val="none"/>
          <w:shd w:val="clear" w:fill="auto"/>
          <w:vertAlign w:val="subscript"/>
          <w:rtl w:val="0"/>
        </w:rPr>
        <w:t>Civil Liberties Index (C)</w:t>
      </w: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  </w:t>
      </w:r>
    </w:p>
    <w:p w14:paraId="000000D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77"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18 16 14 12 10 8 </w:t>
      </w:r>
    </w:p>
    <w:p w14:paraId="000000D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6" w:after="0" w:line="240"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6 </w:t>
      </w:r>
    </w:p>
    <w:p w14:paraId="000000D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30" w:after="0" w:line="240"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4 </w:t>
      </w:r>
    </w:p>
    <w:p w14:paraId="000000D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30" w:after="0" w:line="240"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2 </w:t>
      </w:r>
    </w:p>
    <w:p w14:paraId="000000E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30" w:after="0" w:line="240" w:lineRule="auto"/>
        <w:ind w:left="0" w:right="0" w:firstLine="0"/>
        <w:jc w:val="lef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0 </w:t>
      </w:r>
    </w:p>
    <w:p w14:paraId="000000E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564"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Sebria </w:t>
      </w:r>
    </w:p>
    <w:p w14:paraId="000000E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93"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Russia </w:t>
      </w:r>
    </w:p>
    <w:p w14:paraId="000000E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83"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Kazakhstan </w:t>
      </w:r>
    </w:p>
    <w:p w14:paraId="000000E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6"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Poland </w:t>
      </w:r>
    </w:p>
    <w:p w14:paraId="000000E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98"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Romania </w:t>
      </w:r>
    </w:p>
    <w:p w14:paraId="000000E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Moldova </w:t>
      </w:r>
    </w:p>
    <w:p w14:paraId="000000E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554"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Ukraine </w:t>
      </w:r>
    </w:p>
    <w:p w14:paraId="000000E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97"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Georgia </w:t>
      </w:r>
    </w:p>
    <w:p w14:paraId="000000E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64" w:after="0" w:line="526"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LithuanCzech </w:t>
      </w:r>
    </w:p>
    <w:p w14:paraId="000000E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7"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sectPr>
          <w:type w:val="continuous"/>
          <w:pgSz w:w="11900" w:h="16820"/>
          <w:pgMar w:top="835" w:right="3316" w:bottom="893" w:left="2970" w:header="0" w:footer="720" w:gutter="0"/>
          <w:cols w:equalWidth="0" w:num="5">
            <w:col w:w="1140" w:space="0"/>
            <w:col w:w="1140" w:space="0"/>
            <w:col w:w="1140" w:space="0"/>
            <w:col w:w="1140" w:space="0"/>
            <w:col w:w="1140"/>
          </w:cols>
        </w:sectPr>
      </w:pP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Croatia </w:t>
      </w:r>
    </w:p>
    <w:p w14:paraId="000000E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017" w:after="0" w:line="240" w:lineRule="auto"/>
        <w:ind w:left="0" w:right="2272" w:firstLine="0"/>
        <w:jc w:val="righ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sectPr>
          <w:type w:val="continuous"/>
          <w:pgSz w:w="11900" w:h="16820"/>
          <w:pgMar w:top="835" w:right="770" w:bottom="893" w:left="840" w:header="0" w:footer="720" w:gutter="0"/>
          <w:cols w:equalWidth="0" w:num="1">
            <w:col w:w="10289"/>
          </w:cols>
        </w:sect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0 2 4 6 8 10 12 14 </w:t>
      </w:r>
    </w:p>
    <w:p w14:paraId="000000E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Belarus</w:t>
      </w: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Uzbekistan </w:t>
      </w:r>
    </w:p>
    <w:p w14:paraId="000000E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24" w:after="0" w:line="240" w:lineRule="auto"/>
        <w:ind w:left="0" w:right="10" w:firstLine="0"/>
        <w:jc w:val="right"/>
        <w:rPr>
          <w:rFonts w:ascii="Times New Roman" w:hAnsi="Times New Roman" w:eastAsia="Times New Roman" w:cs="Times New Roman"/>
          <w:b w:val="0"/>
          <w:bCs w:val="0"/>
          <w:i w:val="0"/>
          <w:iCs w:val="0"/>
          <w:smallCaps w:val="0"/>
          <w:strike w:val="0"/>
          <w:color w:val="595959"/>
          <w:sz w:val="16"/>
          <w:szCs w:val="16"/>
          <w:u w:val="none"/>
          <w:shd w:val="clear" w:fill="auto"/>
          <w:vertAlign w:val="baseline"/>
        </w:rPr>
        <w:sectPr>
          <w:type w:val="continuous"/>
          <w:pgSz w:w="11900" w:h="16820"/>
          <w:pgMar w:top="835" w:right="4949" w:bottom="893" w:left="3040" w:header="0" w:footer="720" w:gutter="0"/>
          <w:cols w:equalWidth="0" w:num="2">
            <w:col w:w="1960" w:space="0"/>
            <w:col w:w="1960"/>
          </w:cols>
        </w:sectPr>
      </w:pPr>
      <w:r>
        <w:rPr>
          <w:rFonts w:ascii="Times New Roman" w:hAnsi="Times New Roman" w:eastAsia="Times New Roman" w:cs="Times New Roman"/>
          <w:b w:val="0"/>
          <w:bCs w:val="0"/>
          <w:i w:val="0"/>
          <w:iCs w:val="0"/>
          <w:smallCaps w:val="0"/>
          <w:strike w:val="0"/>
          <w:color w:val="595959"/>
          <w:sz w:val="16"/>
          <w:szCs w:val="16"/>
          <w:u w:val="none"/>
          <w:shd w:val="clear" w:fill="auto"/>
          <w:vertAlign w:val="baseline"/>
          <w:rtl w:val="0"/>
        </w:rPr>
        <w:t xml:space="preserve">Political Rights Index (A) </w:t>
      </w:r>
    </w:p>
    <w:p w14:paraId="000000E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56" w:after="0" w:line="229" w:lineRule="auto"/>
        <w:ind w:left="1127" w:right="1123"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Figure 1. Clustering of post-communist countries by Political Rights Index (A) and  Civil Liberties Index (B) </w:t>
      </w:r>
    </w:p>
    <w:p w14:paraId="000000E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16"/>
          <w:szCs w:val="16"/>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Source: compiled by the author according to</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29</w:t>
      </w:r>
      <w:r>
        <w:rPr>
          <w:rFonts w:ascii="Times New Roman" w:hAnsi="Times New Roman" w:eastAsia="Times New Roman" w:cs="Times New Roman"/>
          <w:b w:val="0"/>
          <w:bCs w:val="0"/>
          <w:i w:val="0"/>
          <w:iCs w:val="0"/>
          <w:smallCaps w:val="0"/>
          <w:strike w:val="0"/>
          <w:color w:val="000000"/>
          <w:sz w:val="16"/>
          <w:szCs w:val="16"/>
          <w:u w:val="none"/>
          <w:shd w:val="clear" w:fill="auto"/>
          <w:vertAlign w:val="baseline"/>
          <w:rtl w:val="0"/>
        </w:rPr>
        <w:t xml:space="preserve"> </w:t>
      </w:r>
    </w:p>
    <w:p w14:paraId="000000F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67" w:after="0" w:line="229" w:lineRule="auto"/>
        <w:ind w:left="863" w:right="861" w:firstLine="570"/>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European integration and membership of most of these countries in the European  Union (further – EU) and North Atlantic Treaty Organization (further – NATO) have  contributed to democratic change, the establishment of the rule of law and the protection  of human rights. Poland was preparing for accession in 1991-2004 from signing the  </w:t>
      </w:r>
    </w:p>
    <w:p w14:paraId="000000F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38" w:after="0" w:line="240" w:lineRule="auto"/>
        <w:ind w:left="869"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29 </w:t>
      </w:r>
      <w:r>
        <w:rPr>
          <w:rFonts w:ascii="Calibri" w:hAnsi="Calibri" w:eastAsia="Calibri" w:cs="Calibri"/>
          <w:b/>
          <w:bCs/>
          <w:i w:val="0"/>
          <w:iCs w:val="0"/>
          <w:smallCaps w:val="0"/>
          <w:strike w:val="0"/>
          <w:color w:val="000000"/>
          <w:sz w:val="19"/>
          <w:szCs w:val="19"/>
          <w:u w:val="none"/>
          <w:shd w:val="clear" w:fill="auto"/>
          <w:vertAlign w:val="baseline"/>
          <w:rtl w:val="0"/>
        </w:rPr>
        <w:t xml:space="preserve">V-Dem Institute. (n.d.).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0F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- 119 - </w:t>
      </w:r>
    </w:p>
    <w:p w14:paraId="000000F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28" name="image28.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29" name="image29.png"/>
            <wp:cNvGraphicFramePr/>
            <a:graphic xmlns:a="http://schemas.openxmlformats.org/drawingml/2006/main">
              <a:graphicData uri="http://schemas.openxmlformats.org/drawingml/2006/picture">
                <pic:pic xmlns:pic="http://schemas.openxmlformats.org/drawingml/2006/picture">
                  <pic:nvPicPr>
                    <pic:cNvPr id="29" name="image29.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0F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3" w:right="860" w:firstLine="0"/>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Association Agreement in 1991, applying for membership in 1994 to joining in 2004.  The Czech Republic submitted its application for EU membership in 1996 and joined  the EU in 2004. In 1995, the Lithuania applied to join the EU and officially acceded in  2004. It is worth noting that it was the EU’s requirements for Lithuania in terms of  convergence indicators that stimulated its development and ensured accession  negotiations in 2000-2002. In 1995, the Latvian government applied for EU  membership, accession negotiations began in 1998, and the country became an EU  member in 2004. In 1995, Estonia signed both an Association Agreement and a free  trade agreement with the EU. </w:t>
      </w:r>
    </w:p>
    <w:p w14:paraId="000000F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864" w:right="863" w:firstLine="57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formation of an independent judiciary, legislative and executive branches of  government has ensured institutional stability, and public administration reforms  through European integration have contributed to transparency and accountability of the  CEE authorities. The establishment of anti-corruption mechanisms through the  introduction of European regulatory standards, including in the financial sector, and  continuous legislative improvements have helped maintain an appropriate level of  democracy. This has also increased the level of citizen participation in political life. </w:t>
      </w:r>
    </w:p>
    <w:p w14:paraId="000000F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861" w:right="860" w:firstLine="574"/>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countries with transitional/hybrid political regimes include Georgia, Moldova,  Serbia, and Ukraine, where democratic transformation processes are highly dependent on  the state of completion of democratic reforms and changes in public administration, internal  political instability and frequent changes of governments, a hybrid political system, external  pressure and influence of foreign governments, interference in domestic politics, and  insufficient rule of law.  </w:t>
      </w:r>
    </w:p>
    <w:p w14:paraId="000000F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861" w:right="862" w:firstLine="570"/>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Democratic change in these countries began in the 1990s, but constant setbacks to  democracy due to political crises, corruption, Russia’s policy of revanchism and  expansionism, and hybrid aggression have led to a slowdown in democratic  transformation. This has also resulted in slow legal changes and low levels of public  trust in state institutions, limited public participation in political processes, corruption at  all levels of government, and insufficient independence of judges. Russia’s external  pressure has greatly complicated institutional development and the establishment of  extractive institutions that limit political participation, hinder innovation and economic  growth.  </w:t>
      </w:r>
    </w:p>
    <w:p w14:paraId="000000F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861" w:right="863"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In countries with transitional/hybrid political regimes, the participation of CS in  political life has been growing since the early 1990s. In Georgia, Serbia, and Ukraine,  the estimates of public involvement in 1990 were approximately the same (0.233, 0.179,  0.17, respectively), while Moldova had a much higher level of participation (0.603). In  2024, the level of citizens’ resilience and engagement in the life of the countries  increased significantly (Georgia 0.616, Moldova 0.777, Serbia 0.531, Ukraine 0.762). </w:t>
      </w:r>
    </w:p>
    <w:p w14:paraId="000000F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861" w:right="862" w:firstLine="574"/>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countries with authoritarian regimes include Belarus, Russia, Kazakhstan, and  Uzbekistan, which have very low political rights and civil liberties due to their post Soviet authoritarian legacy and values. There is no or weak democratic transition in  these countries, and power is concentrated in the hands of the president with limited  parliamentary oversight. Freedom of speech is severely restricted, and the influence of  civil society organizations on democratic change is low or non-existent (Figure 2).  These countries are focused on partnerships and expanding political ties with  authoritarian models of government (China). Accordingly, the level of autonomy of </w:t>
      </w:r>
    </w:p>
    <w:p w14:paraId="000000F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27"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- 120 - </w:t>
      </w:r>
    </w:p>
    <w:p w14:paraId="000000F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35" name="image35.png"/>
                    <pic:cNvPicPr preferRelativeResize="0"/>
                  </pic:nvPicPr>
                  <pic:blipFill>
                    <a:blip r:embed="rId16"/>
                    <a:srcRect/>
                    <a:stretch>
                      <a:fillRect/>
                    </a:stretch>
                  </pic:blipFill>
                  <pic:spPr>
                    <a:xfrm>
                      <a:off x="0" y="0"/>
                      <a:ext cx="5935980" cy="722630"/>
                    </a:xfrm>
                    <a:prstGeom prst="rect">
                      <a:avLst/>
                    </a:prstGeom>
                  </pic:spPr>
                </pic:pic>
              </a:graphicData>
            </a:graphic>
          </wp:inline>
        </w:drawing>
      </w:r>
    </w:p>
    <w:p w14:paraId="000000F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3" w:firstLine="8"/>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citizens’ actions is low or below average. The civil society participation index in 2024  was 0.124 in Belarus, 0.462 in Kazakhstan, 0.142 in Russia, and 0.337 in Uzbekistan.  The grouping of post-communist countries by the level of development of  democracy and civil society demonstrates that the development of civil society, its  sustainability, and autonomy generally correspond to democratic development (Table 2).  Countries with a high level of democratic values are characterized by a high or medium  degree of autonomy of CS, civil liberties and absence of restrictions on private and  political freedoms, deliberative decision-making processes of political regimes, and a  high level of consideration of citizens’ opinions in elections.  </w:t>
      </w:r>
    </w:p>
    <w:p w14:paraId="000000F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2" w:after="0" w:line="229" w:lineRule="auto"/>
        <w:ind w:left="873" w:right="865" w:hanging="4"/>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Table 2. Grouping of countries by the level of development of democracy and civil  society </w:t>
      </w:r>
    </w:p>
    <w:tbl>
      <w:tblPr>
        <w:tblStyle w:val="16"/>
        <w:tblW w:w="8319" w:type="dxa"/>
        <w:tblInd w:w="79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1888"/>
        <w:gridCol w:w="1294"/>
        <w:gridCol w:w="1461"/>
        <w:gridCol w:w="1034"/>
        <w:gridCol w:w="1365"/>
        <w:gridCol w:w="1275"/>
      </w:tblGrid>
      <w:tr w14:paraId="71923F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1114" w:hRule="atLeast"/>
        </w:trPr>
        <w:tc>
          <w:tcPr>
            <w:shd w:val="clear" w:color="auto" w:fill="auto"/>
            <w:tcMar>
              <w:top w:w="100" w:type="dxa"/>
              <w:left w:w="100" w:type="dxa"/>
              <w:bottom w:w="100" w:type="dxa"/>
              <w:right w:w="100" w:type="dxa"/>
            </w:tcMar>
            <w:vAlign w:val="top"/>
          </w:tcPr>
          <w:p w14:paraId="000000F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6"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Level of  </w:t>
            </w:r>
          </w:p>
          <w:p w14:paraId="000000F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1"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democracy</w:t>
            </w:r>
          </w:p>
        </w:tc>
        <w:tc>
          <w:tcPr>
            <w:shd w:val="clear" w:color="auto" w:fill="auto"/>
            <w:tcMar>
              <w:top w:w="100" w:type="dxa"/>
              <w:left w:w="100" w:type="dxa"/>
              <w:bottom w:w="100" w:type="dxa"/>
              <w:right w:w="100" w:type="dxa"/>
            </w:tcMar>
            <w:vAlign w:val="top"/>
          </w:tcPr>
          <w:p w14:paraId="0000010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4" w:right="235" w:firstLine="5"/>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Group of  post </w:t>
            </w:r>
          </w:p>
          <w:p w14:paraId="0000010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69" w:right="41"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communist  countries</w:t>
            </w:r>
          </w:p>
        </w:tc>
        <w:tc>
          <w:tcPr>
            <w:shd w:val="clear" w:color="auto" w:fill="auto"/>
            <w:tcMar>
              <w:top w:w="100" w:type="dxa"/>
              <w:left w:w="100" w:type="dxa"/>
              <w:bottom w:w="100" w:type="dxa"/>
              <w:right w:w="100" w:type="dxa"/>
            </w:tcMar>
            <w:vAlign w:val="top"/>
          </w:tcPr>
          <w:p w14:paraId="0000010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7" w:right="-6" w:firstLine="4"/>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Civil Society  Participation Index </w:t>
            </w:r>
          </w:p>
        </w:tc>
        <w:tc>
          <w:tcPr>
            <w:shd w:val="clear" w:color="auto" w:fill="auto"/>
            <w:tcMar>
              <w:top w:w="100" w:type="dxa"/>
              <w:left w:w="100" w:type="dxa"/>
              <w:bottom w:w="100" w:type="dxa"/>
              <w:right w:w="100" w:type="dxa"/>
            </w:tcMar>
            <w:vAlign w:val="top"/>
          </w:tcPr>
          <w:p w14:paraId="0000010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9"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Civil  </w:t>
            </w:r>
          </w:p>
          <w:p w14:paraId="0000010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4" w:right="-3"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Liberties Index </w:t>
            </w:r>
          </w:p>
        </w:tc>
        <w:tc>
          <w:tcPr>
            <w:shd w:val="clear" w:color="auto" w:fill="auto"/>
            <w:tcMar>
              <w:top w:w="100" w:type="dxa"/>
              <w:left w:w="100" w:type="dxa"/>
              <w:bottom w:w="100" w:type="dxa"/>
              <w:right w:w="100" w:type="dxa"/>
            </w:tcMar>
            <w:vAlign w:val="top"/>
          </w:tcPr>
          <w:p w14:paraId="0000010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3" w:right="-4"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Deliberative Democracy  Index </w:t>
            </w:r>
          </w:p>
        </w:tc>
        <w:tc>
          <w:tcPr>
            <w:shd w:val="clear" w:color="auto" w:fill="auto"/>
            <w:tcMar>
              <w:top w:w="100" w:type="dxa"/>
              <w:left w:w="100" w:type="dxa"/>
              <w:bottom w:w="100" w:type="dxa"/>
              <w:right w:w="100" w:type="dxa"/>
            </w:tcMar>
            <w:vAlign w:val="top"/>
          </w:tcPr>
          <w:p w14:paraId="0000010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5" w:right="-3" w:firstLine="1"/>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Electoral  Democracy Index </w:t>
            </w:r>
          </w:p>
        </w:tc>
      </w:tr>
      <w:tr w14:paraId="766727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493" w:hRule="atLeast"/>
        </w:trPr>
        <w:tc>
          <w:tcPr>
            <w:shd w:val="clear" w:color="auto" w:fill="auto"/>
            <w:tcMar>
              <w:top w:w="100" w:type="dxa"/>
              <w:left w:w="100" w:type="dxa"/>
              <w:bottom w:w="100" w:type="dxa"/>
              <w:right w:w="100" w:type="dxa"/>
            </w:tcMar>
            <w:vAlign w:val="top"/>
          </w:tcPr>
          <w:p w14:paraId="0000010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6"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High level of  </w:t>
            </w:r>
          </w:p>
          <w:p w14:paraId="0000010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democracy </w:t>
            </w:r>
          </w:p>
        </w:tc>
        <w:tc>
          <w:tcPr>
            <w:shd w:val="clear" w:color="auto" w:fill="auto"/>
            <w:tcMar>
              <w:top w:w="100" w:type="dxa"/>
              <w:left w:w="100" w:type="dxa"/>
              <w:bottom w:w="100" w:type="dxa"/>
              <w:right w:w="100" w:type="dxa"/>
            </w:tcMar>
            <w:vAlign w:val="top"/>
          </w:tcPr>
          <w:p w14:paraId="0000010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5"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Estonia,  </w:t>
            </w:r>
          </w:p>
          <w:p w14:paraId="0000010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8" w:right="194" w:hanging="3"/>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Lithuania,  Czech  </w:t>
            </w:r>
          </w:p>
          <w:p w14:paraId="0000010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9" w:lineRule="auto"/>
              <w:ind w:left="64" w:right="248"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Republic,  Slovakia,  </w:t>
            </w:r>
          </w:p>
          <w:p w14:paraId="0000010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Latvia,  </w:t>
            </w:r>
          </w:p>
          <w:p w14:paraId="0000010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Poland,  </w:t>
            </w:r>
          </w:p>
          <w:p w14:paraId="0000010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8" w:right="248" w:hanging="4"/>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Romania,  Croatia</w:t>
            </w:r>
          </w:p>
        </w:tc>
        <w:tc>
          <w:tcPr>
            <w:shd w:val="clear" w:color="auto" w:fill="auto"/>
            <w:tcMar>
              <w:top w:w="100" w:type="dxa"/>
              <w:left w:w="100" w:type="dxa"/>
              <w:bottom w:w="100" w:type="dxa"/>
              <w:right w:w="100" w:type="dxa"/>
            </w:tcMar>
            <w:vAlign w:val="top"/>
          </w:tcPr>
          <w:p w14:paraId="0000010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6"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High (0.732) </w:t>
            </w:r>
          </w:p>
        </w:tc>
        <w:tc>
          <w:tcPr>
            <w:shd w:val="clear" w:color="auto" w:fill="auto"/>
            <w:tcMar>
              <w:top w:w="100" w:type="dxa"/>
              <w:left w:w="100" w:type="dxa"/>
              <w:bottom w:w="100" w:type="dxa"/>
              <w:right w:w="100" w:type="dxa"/>
            </w:tcMar>
            <w:vAlign w:val="top"/>
          </w:tcPr>
          <w:p w14:paraId="0000011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High  </w:t>
            </w:r>
          </w:p>
          <w:p w14:paraId="0000011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9"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(0.862)</w:t>
            </w:r>
          </w:p>
        </w:tc>
        <w:tc>
          <w:tcPr>
            <w:shd w:val="clear" w:color="auto" w:fill="auto"/>
            <w:tcMar>
              <w:top w:w="100" w:type="dxa"/>
              <w:left w:w="100" w:type="dxa"/>
              <w:bottom w:w="100" w:type="dxa"/>
              <w:right w:w="100" w:type="dxa"/>
            </w:tcMar>
            <w:vAlign w:val="top"/>
          </w:tcPr>
          <w:p w14:paraId="0000011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1"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Average  </w:t>
            </w:r>
          </w:p>
          <w:p w14:paraId="0000011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9"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(0.591)</w:t>
            </w:r>
          </w:p>
        </w:tc>
        <w:tc>
          <w:tcPr>
            <w:shd w:val="clear" w:color="auto" w:fill="auto"/>
            <w:tcMar>
              <w:top w:w="100" w:type="dxa"/>
              <w:left w:w="100" w:type="dxa"/>
              <w:bottom w:w="100" w:type="dxa"/>
              <w:right w:w="100" w:type="dxa"/>
            </w:tcMar>
            <w:vAlign w:val="top"/>
          </w:tcPr>
          <w:p w14:paraId="0000011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6"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High  </w:t>
            </w:r>
          </w:p>
          <w:p w14:paraId="0000011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(0.753)</w:t>
            </w:r>
          </w:p>
        </w:tc>
      </w:tr>
      <w:tr w14:paraId="08612D4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1114" w:hRule="atLeast"/>
        </w:trPr>
        <w:tc>
          <w:tcPr>
            <w:shd w:val="clear" w:color="auto" w:fill="auto"/>
            <w:tcMar>
              <w:top w:w="100" w:type="dxa"/>
              <w:left w:w="100" w:type="dxa"/>
              <w:bottom w:w="100" w:type="dxa"/>
              <w:right w:w="100" w:type="dxa"/>
            </w:tcMar>
            <w:vAlign w:val="top"/>
          </w:tcPr>
          <w:p w14:paraId="0000011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30" w:lineRule="auto"/>
              <w:ind w:left="70" w:right="167" w:hanging="3"/>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Medium level of  democracy,  </w:t>
            </w:r>
          </w:p>
          <w:p w14:paraId="0000011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 w:after="0" w:line="229" w:lineRule="auto"/>
              <w:ind w:left="63" w:right="-6"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transitional/hybrid regimes</w:t>
            </w:r>
          </w:p>
        </w:tc>
        <w:tc>
          <w:tcPr>
            <w:shd w:val="clear" w:color="auto" w:fill="auto"/>
            <w:tcMar>
              <w:top w:w="100" w:type="dxa"/>
              <w:left w:w="100" w:type="dxa"/>
              <w:bottom w:w="100" w:type="dxa"/>
              <w:right w:w="100" w:type="dxa"/>
            </w:tcMar>
            <w:vAlign w:val="top"/>
          </w:tcPr>
          <w:p w14:paraId="0000011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8"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Georgia,  </w:t>
            </w:r>
          </w:p>
          <w:p w14:paraId="0000011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75" w:right="248" w:hanging="11"/>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Moldova,  Serbia,  </w:t>
            </w:r>
          </w:p>
          <w:p w14:paraId="0000011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61"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Ukraine</w:t>
            </w:r>
          </w:p>
        </w:tc>
        <w:tc>
          <w:tcPr>
            <w:shd w:val="clear" w:color="auto" w:fill="auto"/>
            <w:tcMar>
              <w:top w:w="100" w:type="dxa"/>
              <w:left w:w="100" w:type="dxa"/>
              <w:bottom w:w="100" w:type="dxa"/>
              <w:right w:w="100" w:type="dxa"/>
            </w:tcMar>
            <w:vAlign w:val="top"/>
          </w:tcPr>
          <w:p w14:paraId="0000011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Average  </w:t>
            </w:r>
          </w:p>
          <w:p w14:paraId="0000011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(0.571)</w:t>
            </w:r>
          </w:p>
        </w:tc>
        <w:tc>
          <w:tcPr>
            <w:shd w:val="clear" w:color="auto" w:fill="auto"/>
            <w:tcMar>
              <w:top w:w="100" w:type="dxa"/>
              <w:left w:w="100" w:type="dxa"/>
              <w:bottom w:w="100" w:type="dxa"/>
              <w:right w:w="100" w:type="dxa"/>
            </w:tcMar>
            <w:vAlign w:val="top"/>
          </w:tcPr>
          <w:p w14:paraId="0000011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High  </w:t>
            </w:r>
          </w:p>
          <w:p w14:paraId="0000011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9"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(0.748)</w:t>
            </w:r>
          </w:p>
        </w:tc>
        <w:tc>
          <w:tcPr>
            <w:shd w:val="clear" w:color="auto" w:fill="auto"/>
            <w:tcMar>
              <w:top w:w="100" w:type="dxa"/>
              <w:left w:w="100" w:type="dxa"/>
              <w:bottom w:w="100" w:type="dxa"/>
              <w:right w:w="100" w:type="dxa"/>
            </w:tcMar>
            <w:vAlign w:val="top"/>
          </w:tcPr>
          <w:p w14:paraId="0000011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1"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Average  </w:t>
            </w:r>
          </w:p>
          <w:p w14:paraId="0000012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9"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(0.344)</w:t>
            </w:r>
          </w:p>
        </w:tc>
        <w:tc>
          <w:tcPr>
            <w:shd w:val="clear" w:color="auto" w:fill="auto"/>
            <w:tcMar>
              <w:top w:w="100" w:type="dxa"/>
              <w:left w:w="100" w:type="dxa"/>
              <w:bottom w:w="100" w:type="dxa"/>
              <w:right w:w="100" w:type="dxa"/>
            </w:tcMar>
            <w:vAlign w:val="top"/>
          </w:tcPr>
          <w:p w14:paraId="0000012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Average  </w:t>
            </w:r>
          </w:p>
          <w:p w14:paraId="0000012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(0.489)</w:t>
            </w:r>
          </w:p>
        </w:tc>
      </w:tr>
      <w:tr w14:paraId="7A8E737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1116" w:hRule="atLeast"/>
        </w:trPr>
        <w:tc>
          <w:tcPr>
            <w:shd w:val="clear" w:color="auto" w:fill="auto"/>
            <w:tcMar>
              <w:top w:w="100" w:type="dxa"/>
              <w:left w:w="100" w:type="dxa"/>
              <w:bottom w:w="100" w:type="dxa"/>
              <w:right w:w="100" w:type="dxa"/>
            </w:tcMar>
            <w:vAlign w:val="top"/>
          </w:tcPr>
          <w:p w14:paraId="0000012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71" w:right="346"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Countries with  authoritarian  </w:t>
            </w:r>
          </w:p>
          <w:p w14:paraId="0000012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40" w:lineRule="auto"/>
              <w:ind w:left="63"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regimes </w:t>
            </w:r>
          </w:p>
        </w:tc>
        <w:tc>
          <w:tcPr>
            <w:shd w:val="clear" w:color="auto" w:fill="auto"/>
            <w:tcMar>
              <w:top w:w="100" w:type="dxa"/>
              <w:left w:w="100" w:type="dxa"/>
              <w:bottom w:w="100" w:type="dxa"/>
              <w:right w:w="100" w:type="dxa"/>
            </w:tcMar>
            <w:vAlign w:val="top"/>
          </w:tcPr>
          <w:p w14:paraId="0000012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Belarus,  </w:t>
            </w:r>
          </w:p>
          <w:p w14:paraId="0000012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Russia,  </w:t>
            </w:r>
          </w:p>
          <w:p w14:paraId="0000012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1" w:right="-1" w:firstLine="2"/>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Kazakhstan, Uzbekistan</w:t>
            </w:r>
          </w:p>
        </w:tc>
        <w:tc>
          <w:tcPr>
            <w:shd w:val="clear" w:color="auto" w:fill="auto"/>
            <w:tcMar>
              <w:top w:w="100" w:type="dxa"/>
              <w:left w:w="100" w:type="dxa"/>
              <w:bottom w:w="100" w:type="dxa"/>
              <w:right w:w="100" w:type="dxa"/>
            </w:tcMar>
            <w:vAlign w:val="top"/>
          </w:tcPr>
          <w:p w14:paraId="0000012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67"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Low (0.337) </w:t>
            </w:r>
          </w:p>
        </w:tc>
        <w:tc>
          <w:tcPr>
            <w:shd w:val="clear" w:color="auto" w:fill="auto"/>
            <w:tcMar>
              <w:top w:w="100" w:type="dxa"/>
              <w:left w:w="100" w:type="dxa"/>
              <w:bottom w:w="100" w:type="dxa"/>
              <w:right w:w="100" w:type="dxa"/>
            </w:tcMar>
            <w:vAlign w:val="top"/>
          </w:tcPr>
          <w:p w14:paraId="0000012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69" w:right="122" w:hanging="7"/>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Average  (0.467)</w:t>
            </w:r>
          </w:p>
        </w:tc>
        <w:tc>
          <w:tcPr>
            <w:shd w:val="clear" w:color="auto" w:fill="auto"/>
            <w:tcMar>
              <w:top w:w="100" w:type="dxa"/>
              <w:left w:w="100" w:type="dxa"/>
              <w:bottom w:w="100" w:type="dxa"/>
              <w:right w:w="100" w:type="dxa"/>
            </w:tcMar>
            <w:vAlign w:val="top"/>
          </w:tcPr>
          <w:p w14:paraId="0000012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561"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Low (0.134) Low </w:t>
            </w:r>
          </w:p>
        </w:tc>
        <w:tc>
          <w:tcPr>
            <w:shd w:val="clear" w:color="auto" w:fill="auto"/>
            <w:tcMar>
              <w:top w:w="100" w:type="dxa"/>
              <w:left w:w="100" w:type="dxa"/>
              <w:bottom w:w="100" w:type="dxa"/>
              <w:right w:w="100" w:type="dxa"/>
            </w:tcMar>
            <w:vAlign w:val="top"/>
          </w:tcPr>
          <w:p w14:paraId="0000012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(0.264)</w:t>
            </w:r>
          </w:p>
        </w:tc>
      </w:tr>
    </w:tbl>
    <w:p w14:paraId="0000012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12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12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166" w:firstLine="0"/>
        <w:jc w:val="righ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-5636895</wp:posOffset>
            </wp:positionH>
            <wp:positionV relativeFrom="paragraph">
              <wp:posOffset>-2294890</wp:posOffset>
            </wp:positionV>
            <wp:extent cx="5988685" cy="6857365"/>
            <wp:effectExtent l="0" t="0" r="0" b="0"/>
            <wp:wrapSquare wrapText="bothSides"/>
            <wp:docPr id="36" name="image36.png"/>
            <wp:cNvGraphicFramePr/>
            <a:graphic xmlns:a="http://schemas.openxmlformats.org/drawingml/2006/main">
              <a:graphicData uri="http://schemas.openxmlformats.org/drawingml/2006/picture">
                <pic:pic xmlns:pic="http://schemas.openxmlformats.org/drawingml/2006/picture">
                  <pic:nvPicPr>
                    <pic:cNvPr id="36" name="image36.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2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279" w:after="0" w:line="240" w:lineRule="auto"/>
        <w:ind w:left="877" w:right="0" w:firstLine="0"/>
        <w:jc w:val="left"/>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Source: compiled by the author according to</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30</w:t>
      </w:r>
    </w:p>
    <w:p w14:paraId="0000013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71" w:right="862" w:hanging="12"/>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Note: index scores are calculated for the period 1990-2024 based on the average value  for each group of countries </w:t>
      </w:r>
    </w:p>
    <w:p w14:paraId="0000013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82" w:after="0" w:line="230" w:lineRule="auto"/>
        <w:ind w:left="861" w:right="860" w:firstLine="575"/>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On the other hand, countries that are undergoing a long transition to democratic  values are characterized mainly by average estimates of the values of all indices for the  period 1990-2024. This indicates that there have been achievements in increasing the  level of autonomy of CSOs, eliminating physical violence by the government, and  lifting restrictions on private and political freedoms. Since the early 1990s, the degree of  deliberative decision-making in the state system has been increasing, the common good  </w:t>
      </w:r>
    </w:p>
    <w:p w14:paraId="0000013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29" w:after="0" w:line="240" w:lineRule="auto"/>
        <w:ind w:left="868"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30 </w:t>
      </w:r>
      <w:r>
        <w:rPr>
          <w:rFonts w:ascii="Calibri" w:hAnsi="Calibri" w:eastAsia="Calibri" w:cs="Calibri"/>
          <w:b/>
          <w:bCs/>
          <w:i w:val="0"/>
          <w:iCs w:val="0"/>
          <w:smallCaps w:val="0"/>
          <w:strike w:val="0"/>
          <w:color w:val="000000"/>
          <w:sz w:val="19"/>
          <w:szCs w:val="19"/>
          <w:u w:val="none"/>
          <w:shd w:val="clear" w:fill="auto"/>
          <w:vertAlign w:val="baseline"/>
          <w:rtl w:val="0"/>
        </w:rPr>
        <w:t xml:space="preserve">V-Dem Institute. (n.d.).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13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- 121 - </w:t>
      </w:r>
    </w:p>
    <w:p w14:paraId="0000013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33" name="image33.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34" name="image34.png"/>
            <wp:cNvGraphicFramePr/>
            <a:graphic xmlns:a="http://schemas.openxmlformats.org/drawingml/2006/main">
              <a:graphicData uri="http://schemas.openxmlformats.org/drawingml/2006/picture">
                <pic:pic xmlns:pic="http://schemas.openxmlformats.org/drawingml/2006/picture">
                  <pic:nvPicPr>
                    <pic:cNvPr id="34" name="image34.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3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70" w:right="865"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and interests of the population are increasingly taken into account in public  administration, and electoral competition is growing.  </w:t>
      </w:r>
    </w:p>
    <w:p w14:paraId="0000013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8" w:lineRule="auto"/>
        <w:ind w:left="861" w:right="862" w:firstLine="572"/>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countries dominated by authoritarian regimes, the level of autonomy of the CS  and its participation in decision-making processes is generally quite low.  In general, the results indicate that in CEE post-communist countries, civic  participation can influence the path of transition to a democratic regime. In addition, the  results confirm the widening divide between democratic countries in CEE and the  increasingly authoritarian post-Soviet region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It is worth noting that Polish citizens did  not significantly support EU accession due to numerous risks to the internal economic  space. Ukraine’s transition to democratic values has been complex, with active citizen  participation and influence on the government’s decision to join the EU in 2014.  Moldova and Georgia, although characterized by a significant level of civil society  activity, have had their democratization processes hampered by Russia’s significant  interference in their internal affairs.  </w:t>
      </w:r>
    </w:p>
    <w:p w14:paraId="0000013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7" w:lineRule="auto"/>
        <w:ind w:left="865" w:right="861" w:firstLine="56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Georgia, CSOs were instrumental in organizing and mobilizing protests.  Following the ousting of semi-authoritarian leaders, reform-minded governments  assume power. However, the nature of civil society’s engagement with the new  administration differed significantly. Notably, many former civil society leaders in  Georgia transitioned into roles within the new government</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3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 w:after="0" w:line="228" w:lineRule="auto"/>
        <w:ind w:left="861" w:right="861"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general, some of the post-communist countries have quickly implemented  transitional justice measures and successfully democratized. However, despite the  establishment of independent justice mechanisms, a number of post-communist  countries lack democratization progress and have low participation of CSOs in the  political life of the country. On the other hand, Estonia, Lithuania, the Czech Republic,  Slovakia, Latvia, Poland, Romania, and Croatia have successfully consolidated  democracy despite not taking such rapid measures (e.g., Estonia). In contrast, post Soviet countries failed to democratize (e.g. Belarus)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33</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3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 w:after="0" w:line="224" w:lineRule="auto"/>
        <w:ind w:left="863" w:right="861" w:firstLine="56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Post-communist states that are still in the process of democratization ideologically  and structurally fragmented</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There is a lack of consensus in the respective countries  regarding the liberal state role as a deliverer of public goods and an inclusive form of  citizenship. Meanwhile, the non-state sector in post-communism context is broadening  towards both liberal and illiberal ways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35</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3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99" w:after="0" w:line="240" w:lineRule="auto"/>
        <w:ind w:left="868"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31 </w:t>
      </w:r>
      <w:r>
        <w:rPr>
          <w:rFonts w:ascii="Calibri" w:hAnsi="Calibri" w:eastAsia="Calibri" w:cs="Calibri"/>
          <w:b/>
          <w:bCs/>
          <w:i w:val="0"/>
          <w:iCs w:val="0"/>
          <w:smallCaps w:val="0"/>
          <w:strike w:val="0"/>
          <w:color w:val="000000"/>
          <w:sz w:val="19"/>
          <w:szCs w:val="19"/>
          <w:u w:val="none"/>
          <w:shd w:val="clear" w:fill="auto"/>
          <w:vertAlign w:val="baseline"/>
          <w:rtl w:val="0"/>
        </w:rPr>
        <w:t xml:space="preserve">Foa, R. S., &amp; Ekiert, G. (2016).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3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39" w:lineRule="auto"/>
        <w:ind w:left="867" w:right="876" w:hanging="1"/>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32 </w:t>
      </w:r>
      <w:r>
        <w:rPr>
          <w:rFonts w:ascii="Calibri" w:hAnsi="Calibri" w:eastAsia="Calibri" w:cs="Calibri"/>
          <w:b/>
          <w:bCs/>
          <w:i w:val="0"/>
          <w:iCs w:val="0"/>
          <w:smallCaps w:val="0"/>
          <w:strike w:val="0"/>
          <w:color w:val="000000"/>
          <w:sz w:val="19"/>
          <w:szCs w:val="19"/>
          <w:u w:val="none"/>
          <w:shd w:val="clear" w:fill="auto"/>
          <w:vertAlign w:val="baseline"/>
          <w:rtl w:val="0"/>
        </w:rPr>
        <w:t xml:space="preserve">Pinckney, J., Butcher, C., &amp; Braithwaite, J. M. (2022). Organizations, resistance, and democracy: How  civil society organizations impact democratization. </w:t>
      </w:r>
      <w:r>
        <w:rPr>
          <w:rFonts w:ascii="Calibri" w:hAnsi="Calibri" w:eastAsia="Calibri" w:cs="Calibri"/>
          <w:b/>
          <w:bCs/>
          <w:i/>
          <w:iCs/>
          <w:smallCaps w:val="0"/>
          <w:strike w:val="0"/>
          <w:color w:val="000000"/>
          <w:sz w:val="19"/>
          <w:szCs w:val="19"/>
          <w:u w:val="none"/>
          <w:shd w:val="clear" w:fill="auto"/>
          <w:vertAlign w:val="baseline"/>
          <w:rtl w:val="0"/>
        </w:rPr>
        <w:t>International Studies Quarterly</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66</w:t>
      </w:r>
      <w:r>
        <w:rPr>
          <w:rFonts w:ascii="Calibri" w:hAnsi="Calibri" w:eastAsia="Calibri" w:cs="Calibri"/>
          <w:b/>
          <w:bCs/>
          <w:i w:val="0"/>
          <w:iCs w:val="0"/>
          <w:smallCaps w:val="0"/>
          <w:strike w:val="0"/>
          <w:color w:val="000000"/>
          <w:sz w:val="19"/>
          <w:szCs w:val="19"/>
          <w:u w:val="none"/>
          <w:shd w:val="clear" w:fill="auto"/>
          <w:vertAlign w:val="baseline"/>
          <w:rtl w:val="0"/>
        </w:rPr>
        <w:t xml:space="preserve">(1), sqab094.  https://doi.org/10.1093/isq/sqab094  </w:t>
      </w:r>
    </w:p>
    <w:p w14:paraId="0000013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8" w:after="0" w:line="239" w:lineRule="auto"/>
        <w:ind w:left="874" w:right="875" w:hanging="6"/>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33 </w:t>
      </w:r>
      <w:r>
        <w:rPr>
          <w:rFonts w:ascii="Calibri" w:hAnsi="Calibri" w:eastAsia="Calibri" w:cs="Calibri"/>
          <w:b/>
          <w:bCs/>
          <w:i w:val="0"/>
          <w:iCs w:val="0"/>
          <w:smallCaps w:val="0"/>
          <w:strike w:val="0"/>
          <w:color w:val="000000"/>
          <w:sz w:val="19"/>
          <w:szCs w:val="19"/>
          <w:u w:val="none"/>
          <w:shd w:val="clear" w:fill="auto"/>
          <w:vertAlign w:val="baseline"/>
          <w:rtl w:val="0"/>
        </w:rPr>
        <w:t xml:space="preserve">Kalemaj, I. (2021). Transitional justice and democratic consolidation in post-communist Eastern  Europe: Romania and Albania. </w:t>
      </w:r>
      <w:r>
        <w:rPr>
          <w:rFonts w:ascii="Calibri" w:hAnsi="Calibri" w:eastAsia="Calibri" w:cs="Calibri"/>
          <w:b/>
          <w:bCs/>
          <w:i/>
          <w:iCs/>
          <w:smallCaps w:val="0"/>
          <w:strike w:val="0"/>
          <w:color w:val="000000"/>
          <w:sz w:val="19"/>
          <w:szCs w:val="19"/>
          <w:u w:val="none"/>
          <w:shd w:val="clear" w:fill="auto"/>
          <w:vertAlign w:val="baseline"/>
          <w:rtl w:val="0"/>
        </w:rPr>
        <w:t>Eastern Journal of European Studies</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12</w:t>
      </w:r>
      <w:r>
        <w:rPr>
          <w:rFonts w:ascii="Calibri" w:hAnsi="Calibri" w:eastAsia="Calibri" w:cs="Calibri"/>
          <w:b/>
          <w:bCs/>
          <w:i w:val="0"/>
          <w:iCs w:val="0"/>
          <w:smallCaps w:val="0"/>
          <w:strike w:val="0"/>
          <w:color w:val="000000"/>
          <w:sz w:val="19"/>
          <w:szCs w:val="19"/>
          <w:u w:val="none"/>
          <w:shd w:val="clear" w:fill="auto"/>
          <w:vertAlign w:val="baseline"/>
          <w:rtl w:val="0"/>
        </w:rPr>
        <w:t xml:space="preserve">(1), 81-103.  https://doi.org/10.47743/ejes-2021-0104 </w:t>
      </w:r>
    </w:p>
    <w:p w14:paraId="0000013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8" w:after="0" w:line="239" w:lineRule="auto"/>
        <w:ind w:left="870" w:right="878" w:hanging="3"/>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34 </w:t>
      </w:r>
      <w:r>
        <w:rPr>
          <w:rFonts w:ascii="Calibri" w:hAnsi="Calibri" w:eastAsia="Calibri" w:cs="Calibri"/>
          <w:b/>
          <w:bCs/>
          <w:i w:val="0"/>
          <w:iCs w:val="0"/>
          <w:smallCaps w:val="0"/>
          <w:strike w:val="0"/>
          <w:color w:val="000000"/>
          <w:sz w:val="19"/>
          <w:szCs w:val="19"/>
          <w:u w:val="none"/>
          <w:shd w:val="clear" w:fill="auto"/>
          <w:vertAlign w:val="baseline"/>
          <w:rtl w:val="0"/>
        </w:rPr>
        <w:t xml:space="preserve">Belei S., Lopatynskyi Y., Lahodyn N., Nezhyd Y., Petrukha N. (2024). The Role of Uneven Agricultural  Business Growth in Shaping the Socioeconomic Landscape of Rural Regions. </w:t>
      </w:r>
      <w:r>
        <w:rPr>
          <w:rFonts w:ascii="Calibri" w:hAnsi="Calibri" w:eastAsia="Calibri" w:cs="Calibri"/>
          <w:b/>
          <w:bCs/>
          <w:i/>
          <w:iCs/>
          <w:smallCaps w:val="0"/>
          <w:strike w:val="0"/>
          <w:color w:val="000000"/>
          <w:sz w:val="19"/>
          <w:szCs w:val="19"/>
          <w:u w:val="none"/>
          <w:shd w:val="clear" w:fill="auto"/>
          <w:vertAlign w:val="baseline"/>
          <w:rtl w:val="0"/>
        </w:rPr>
        <w:t>AD ALTA</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14</w:t>
      </w:r>
      <w:r>
        <w:rPr>
          <w:rFonts w:ascii="Calibri" w:hAnsi="Calibri" w:eastAsia="Calibri" w:cs="Calibri"/>
          <w:b/>
          <w:bCs/>
          <w:i w:val="0"/>
          <w:iCs w:val="0"/>
          <w:smallCaps w:val="0"/>
          <w:strike w:val="0"/>
          <w:color w:val="000000"/>
          <w:sz w:val="19"/>
          <w:szCs w:val="19"/>
          <w:u w:val="none"/>
          <w:shd w:val="clear" w:fill="auto"/>
          <w:vertAlign w:val="baseline"/>
          <w:rtl w:val="0"/>
        </w:rPr>
        <w:t xml:space="preserve">(2/XLV), 212– 218. https://www.magnanimitas.cz/ADALTA/140245/papers/G_31.pdf </w:t>
      </w:r>
    </w:p>
    <w:p w14:paraId="0000013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8" w:after="0" w:line="240" w:lineRule="auto"/>
        <w:ind w:left="868"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35 </w:t>
      </w:r>
      <w:r>
        <w:rPr>
          <w:rFonts w:ascii="Calibri" w:hAnsi="Calibri" w:eastAsia="Calibri" w:cs="Calibri"/>
          <w:b/>
          <w:bCs/>
          <w:i w:val="0"/>
          <w:iCs w:val="0"/>
          <w:smallCaps w:val="0"/>
          <w:strike w:val="0"/>
          <w:color w:val="000000"/>
          <w:sz w:val="19"/>
          <w:szCs w:val="19"/>
          <w:u w:val="none"/>
          <w:shd w:val="clear" w:fill="auto"/>
          <w:vertAlign w:val="baseline"/>
          <w:rtl w:val="0"/>
        </w:rPr>
        <w:t xml:space="preserve">Kostovicova, D. (2006).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13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- 122 - </w:t>
      </w:r>
    </w:p>
    <w:p w14:paraId="0000014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42" name="image42.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-119380</wp:posOffset>
            </wp:positionH>
            <wp:positionV relativeFrom="paragraph">
              <wp:posOffset>836930</wp:posOffset>
            </wp:positionV>
            <wp:extent cx="5988685" cy="6857365"/>
            <wp:effectExtent l="0" t="0" r="0" b="0"/>
            <wp:wrapSquare wrapText="bothSides"/>
            <wp:docPr id="40" name="image40.png"/>
            <wp:cNvGraphicFramePr/>
            <a:graphic xmlns:a="http://schemas.openxmlformats.org/drawingml/2006/main">
              <a:graphicData uri="http://schemas.openxmlformats.org/drawingml/2006/picture">
                <pic:pic xmlns:pic="http://schemas.openxmlformats.org/drawingml/2006/picture">
                  <pic:nvPicPr>
                    <pic:cNvPr id="40" name="image40.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4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4"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In general, the civil society development is a critical factor in the democratic  transformation of post-communist countries that are not significantly influenced by  external actors and have chosen the European democratic path of development. The  latter factor mediates both democratic transformations and the civil sector raise, and its  participation in building the country’s democratic system. </w:t>
      </w:r>
    </w:p>
    <w:p w14:paraId="0000014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8" w:lineRule="auto"/>
        <w:ind w:left="861" w:right="862" w:firstLine="572"/>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countries dominated by authoritarian regimes, the level of autonomy of the CS  and its participation in decision-making processes is generally quite low.  In general, the results indicate that in CEE post-communist countries, civic  participation can influence the path of transition to a democratic regime. In addition, the  results confirm the widening divide between democratic countries in CEE and the  increasingly authoritarian post-Soviet region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36</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It is worth noting that Polish citizens did  not significantly support EU accession due to numerous risks to the internal economic  space. Ukraine’s transition to democratic values has been complex, with active citizen  participation and influence on the government’s decision to join the EU in 2014.  Moldova and Georgia, although characterized by a significant level of civil society  activity, have had their democratization processes hampered by Russia’s significant  interference in their internal affairs.  </w:t>
      </w:r>
    </w:p>
    <w:p w14:paraId="0000014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 w:after="0" w:line="224" w:lineRule="auto"/>
        <w:ind w:left="863" w:right="863"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In Georgia, civil society organizations (CSOs) were instrumental in organizing  and mobilizing protests. Following the ousting of semi-authoritarian leaders, reform minded governments assume power</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However, the nature of civil society’s  engagement with the new administration differed significantly. Notably, many former  civil society leaders in Georgia transitioned into roles within the new government</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4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29" w:lineRule="auto"/>
        <w:ind w:left="861" w:right="861"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In general, some of the post-communist countries have quickly implemented  transitional justice measures and successfully democratized. However, despite the  establishment of independent justice mechanisms, a number of post-communist  countries lack democratization progress and have low participation of CSOs in the  political life of the country. On the other hand, Estonia, Lithuania, the Czech Republic,  Slovakia, Latvia, Poland, Romania, and Croatia have successfully consolidated  democracy despite not taking such rapid measures (e.g., Estonia). In contrast, post </w:t>
      </w:r>
    </w:p>
    <w:p w14:paraId="0000014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77"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Soviet countries failed to democratize (e.g. Belarus)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39</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4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7" w:lineRule="auto"/>
        <w:ind w:left="863" w:right="860" w:firstLine="56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Post-communist states that are still in the process of democratization ideologically  and structurally fragmented. There is a lack of consensus in the respective countries  regarding the liberal state role as a deliverer of public goods and an inclusive form of  citizenship. Meanwhile, the non-state sector in post-communism context is broadening  towards both liberal and illiberal ways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40</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4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46" w:after="0" w:line="240" w:lineRule="auto"/>
        <w:ind w:left="867"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36 </w:t>
      </w:r>
      <w:r>
        <w:rPr>
          <w:rFonts w:ascii="Calibri" w:hAnsi="Calibri" w:eastAsia="Calibri" w:cs="Calibri"/>
          <w:b/>
          <w:bCs/>
          <w:i w:val="0"/>
          <w:iCs w:val="0"/>
          <w:smallCaps w:val="0"/>
          <w:strike w:val="0"/>
          <w:color w:val="000000"/>
          <w:sz w:val="19"/>
          <w:szCs w:val="19"/>
          <w:u w:val="none"/>
          <w:shd w:val="clear" w:fill="auto"/>
          <w:vertAlign w:val="baseline"/>
          <w:rtl w:val="0"/>
        </w:rPr>
        <w:t xml:space="preserve">Foa, R. S., &amp; Ekiert, G. (2016).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4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4" w:after="0" w:line="239" w:lineRule="auto"/>
        <w:ind w:left="872" w:right="876" w:hanging="4"/>
        <w:jc w:val="both"/>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37 </w:t>
      </w:r>
      <w:r>
        <w:rPr>
          <w:rFonts w:ascii="Calibri" w:hAnsi="Calibri" w:eastAsia="Calibri" w:cs="Calibri"/>
          <w:b/>
          <w:bCs/>
          <w:i w:val="0"/>
          <w:iCs w:val="0"/>
          <w:smallCaps w:val="0"/>
          <w:strike w:val="0"/>
          <w:color w:val="000000"/>
          <w:sz w:val="19"/>
          <w:szCs w:val="19"/>
          <w:u w:val="none"/>
          <w:shd w:val="clear" w:fill="auto"/>
          <w:vertAlign w:val="baseline"/>
          <w:rtl w:val="0"/>
        </w:rPr>
        <w:t xml:space="preserve">Stefes, C. H., &amp; Paturyan, Y. J. (2021). After the revolution: State, civil society, and democratization  in Armenia and Georgia. </w:t>
      </w:r>
      <w:r>
        <w:rPr>
          <w:rFonts w:ascii="Calibri" w:hAnsi="Calibri" w:eastAsia="Calibri" w:cs="Calibri"/>
          <w:b/>
          <w:bCs/>
          <w:i/>
          <w:iCs/>
          <w:smallCaps w:val="0"/>
          <w:strike w:val="0"/>
          <w:color w:val="000000"/>
          <w:sz w:val="19"/>
          <w:szCs w:val="19"/>
          <w:u w:val="none"/>
          <w:shd w:val="clear" w:fill="auto"/>
          <w:vertAlign w:val="baseline"/>
          <w:rtl w:val="0"/>
        </w:rPr>
        <w:t>Frontiers in Political Science</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r>
        <w:rPr>
          <w:rFonts w:ascii="Calibri" w:hAnsi="Calibri" w:eastAsia="Calibri" w:cs="Calibri"/>
          <w:b/>
          <w:bCs/>
          <w:i/>
          <w:iCs/>
          <w:smallCaps w:val="0"/>
          <w:strike w:val="0"/>
          <w:color w:val="000000"/>
          <w:sz w:val="19"/>
          <w:szCs w:val="19"/>
          <w:u w:val="none"/>
          <w:shd w:val="clear" w:fill="auto"/>
          <w:vertAlign w:val="baseline"/>
          <w:rtl w:val="0"/>
        </w:rPr>
        <w:t>3</w:t>
      </w:r>
      <w:r>
        <w:rPr>
          <w:rFonts w:ascii="Calibri" w:hAnsi="Calibri" w:eastAsia="Calibri" w:cs="Calibri"/>
          <w:b/>
          <w:bCs/>
          <w:i w:val="0"/>
          <w:iCs w:val="0"/>
          <w:smallCaps w:val="0"/>
          <w:strike w:val="0"/>
          <w:color w:val="000000"/>
          <w:sz w:val="19"/>
          <w:szCs w:val="19"/>
          <w:u w:val="none"/>
          <w:shd w:val="clear" w:fill="auto"/>
          <w:vertAlign w:val="baseline"/>
          <w:rtl w:val="0"/>
        </w:rPr>
        <w:t xml:space="preserve">, 719478.  https://doi.org/10.3389/fpos.2021.719478 </w:t>
      </w:r>
    </w:p>
    <w:p w14:paraId="0000014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8" w:after="0" w:line="240" w:lineRule="auto"/>
        <w:ind w:left="867"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38 </w:t>
      </w:r>
      <w:r>
        <w:rPr>
          <w:rFonts w:ascii="Calibri" w:hAnsi="Calibri" w:eastAsia="Calibri" w:cs="Calibri"/>
          <w:b/>
          <w:bCs/>
          <w:i w:val="0"/>
          <w:iCs w:val="0"/>
          <w:smallCaps w:val="0"/>
          <w:strike w:val="0"/>
          <w:color w:val="000000"/>
          <w:sz w:val="19"/>
          <w:szCs w:val="19"/>
          <w:u w:val="none"/>
          <w:shd w:val="clear" w:fill="auto"/>
          <w:vertAlign w:val="baseline"/>
          <w:rtl w:val="0"/>
        </w:rPr>
        <w:t xml:space="preserve">Pinckney, J., Butcher, C., &amp; Braithwaite, J. M. (2022).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4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1" w:after="0" w:line="240" w:lineRule="auto"/>
        <w:ind w:left="867"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bCs/>
          <w:i w:val="0"/>
          <w:iCs w:val="0"/>
          <w:smallCaps w:val="0"/>
          <w:strike w:val="0"/>
          <w:color w:val="000000"/>
          <w:sz w:val="21"/>
          <w:szCs w:val="21"/>
          <w:u w:val="none"/>
          <w:shd w:val="clear" w:fill="auto"/>
          <w:vertAlign w:val="superscript"/>
          <w:rtl w:val="0"/>
        </w:rPr>
        <w:t xml:space="preserve">39 </w:t>
      </w:r>
      <w:r>
        <w:rPr>
          <w:rFonts w:ascii="Calibri" w:hAnsi="Calibri" w:eastAsia="Calibri" w:cs="Calibri"/>
          <w:b/>
          <w:bCs/>
          <w:i w:val="0"/>
          <w:iCs w:val="0"/>
          <w:smallCaps w:val="0"/>
          <w:strike w:val="0"/>
          <w:color w:val="000000"/>
          <w:sz w:val="19"/>
          <w:szCs w:val="19"/>
          <w:u w:val="none"/>
          <w:shd w:val="clear" w:fill="auto"/>
          <w:vertAlign w:val="baseline"/>
          <w:rtl w:val="0"/>
        </w:rPr>
        <w:t xml:space="preserve">Kalemaj, I. (2021).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4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40 </w:t>
      </w:r>
      <w:r>
        <w:rPr>
          <w:rFonts w:ascii="Calibri" w:hAnsi="Calibri" w:eastAsia="Calibri" w:cs="Calibri"/>
          <w:b/>
          <w:bCs/>
          <w:i w:val="0"/>
          <w:iCs w:val="0"/>
          <w:smallCaps w:val="0"/>
          <w:strike w:val="0"/>
          <w:color w:val="000000"/>
          <w:sz w:val="19"/>
          <w:szCs w:val="19"/>
          <w:u w:val="none"/>
          <w:shd w:val="clear" w:fill="auto"/>
          <w:vertAlign w:val="baseline"/>
          <w:rtl w:val="0"/>
        </w:rPr>
        <w:t xml:space="preserve">Kostovicova, D. (2006).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14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- 123 - </w:t>
      </w:r>
    </w:p>
    <w:p w14:paraId="0000014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41" name="image41.png"/>
                    <pic:cNvPicPr preferRelativeResize="0"/>
                  </pic:nvPicPr>
                  <pic:blipFill>
                    <a:blip r:embed="rId16"/>
                    <a:srcRect/>
                    <a:stretch>
                      <a:fillRect/>
                    </a:stretch>
                  </pic:blipFill>
                  <pic:spPr>
                    <a:xfrm>
                      <a:off x="0" y="0"/>
                      <a:ext cx="5935980" cy="722630"/>
                    </a:xfrm>
                    <a:prstGeom prst="rect">
                      <a:avLst/>
                    </a:prstGeom>
                  </pic:spPr>
                </pic:pic>
              </a:graphicData>
            </a:graphic>
          </wp:inline>
        </w:drawing>
      </w:r>
    </w:p>
    <w:p w14:paraId="0000014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9" w:lineRule="auto"/>
        <w:ind w:left="861" w:right="864"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In general, the civil society development is a critical factor in the democratic  transformation of post-communist countries that are not significantly influenced by  external actors and have chosen the European democratic path of development. The  latter factor mediates both democratic transformations and the civil sector raise, and its  participation in building the country’s democratic system. </w:t>
      </w:r>
    </w:p>
    <w:tbl>
      <w:tblPr>
        <w:tblStyle w:val="17"/>
        <w:tblW w:w="2426" w:type="dxa"/>
        <w:tblInd w:w="136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2426"/>
      </w:tblGrid>
      <w:tr w14:paraId="44901F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468" w:hRule="atLeast"/>
        </w:trPr>
        <w:tc>
          <w:tcPr>
            <w:shd w:val="clear" w:color="auto" w:fill="auto"/>
            <w:tcMar>
              <w:top w:w="100" w:type="dxa"/>
              <w:left w:w="100" w:type="dxa"/>
              <w:bottom w:w="100" w:type="dxa"/>
              <w:right w:w="100" w:type="dxa"/>
            </w:tcMar>
            <w:vAlign w:val="top"/>
          </w:tcPr>
          <w:p w14:paraId="0000014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2060"/>
                <w:sz w:val="31"/>
                <w:szCs w:val="31"/>
                <w:u w:val="none"/>
                <w:shd w:val="clear" w:fill="auto"/>
                <w:vertAlign w:val="baseline"/>
              </w:rPr>
            </w:pPr>
            <w:r>
              <w:rPr>
                <w:rFonts w:ascii="Times New Roman" w:hAnsi="Times New Roman" w:eastAsia="Times New Roman" w:cs="Times New Roman"/>
                <w:b/>
                <w:bCs/>
                <w:i w:val="0"/>
                <w:iCs w:val="0"/>
                <w:smallCaps w:val="0"/>
                <w:strike w:val="0"/>
                <w:color w:val="002060"/>
                <w:sz w:val="31"/>
                <w:szCs w:val="31"/>
                <w:u w:val="none"/>
                <w:shd w:val="clear" w:fill="auto"/>
                <w:vertAlign w:val="baseline"/>
                <w:rtl w:val="0"/>
              </w:rPr>
              <w:t>DISCUSSION</w:t>
            </w:r>
          </w:p>
        </w:tc>
      </w:tr>
    </w:tbl>
    <w:p w14:paraId="0000015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15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bCs w:val="0"/>
          <w:i w:val="0"/>
          <w:iCs w:val="0"/>
          <w:smallCaps w:val="0"/>
          <w:strike w:val="0"/>
          <w:color w:val="000000"/>
          <w:sz w:val="22"/>
          <w:szCs w:val="22"/>
          <w:u w:val="none"/>
          <w:shd w:val="clear" w:fill="auto"/>
          <w:vertAlign w:val="baseline"/>
        </w:rPr>
      </w:pPr>
    </w:p>
    <w:p w14:paraId="0000015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70"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5.  </w:t>
      </w:r>
    </w:p>
    <w:p w14:paraId="0000015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864" w:firstLine="0"/>
        <w:jc w:val="righ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grouping of post-communist countries according to the level of democracy  </w:t>
      </w:r>
    </w:p>
    <w:p w14:paraId="0000015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7" w:lineRule="auto"/>
        <w:ind w:left="861" w:right="860" w:firstLine="9"/>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and civil society participation in democratization from the 1990s to 2024 indicates that  not only CSO activity and public consolidation play an important role in the transition  process, but also the government’s foreign and domestic policies. State institutions and  government structures have a significant influence on the activation of CSOs in a  country, as they can both stimulate their participation in political life and exert political  pressure on activists and CSO members. In countries with a high degree of  democratization, citizens have an active and stable position and are highly involved in  political decision-making. Countries with hybrid regimes, where internal and external  political pressure is exerted on citizens, are characterized by lengthy processes of  reforming the state bureaucratic apparatus and democratic transition, as well as the slow  establishment of European values. Therefore, in general, the scientific approach that  posits the weakness of civil society in post-communist countries</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 xml:space="preserve">41, 42, 43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does not fully  reflect the national characteristics of public participation in the political life of different  post-communist countries. This may be primarily due to government influence on  citizen activity. The granting of a range of political rights to citizens directly correlates with civil liberties in post-communist countries. A more realistic position is that there  are differences in the degree of CS influence in the post-communist space during  periods of transition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44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This view is also shared by Stan</w:t>
      </w:r>
      <w:r>
        <w:rPr>
          <w:rFonts w:ascii="Times New Roman" w:hAnsi="Times New Roman" w:eastAsia="Times New Roman" w:cs="Times New Roman"/>
          <w:b w:val="0"/>
          <w:bCs w:val="0"/>
          <w:i w:val="0"/>
          <w:iCs w:val="0"/>
          <w:smallCaps w:val="0"/>
          <w:strike w:val="0"/>
          <w:color w:val="000000"/>
          <w:sz w:val="26"/>
          <w:szCs w:val="26"/>
          <w:u w:val="none"/>
          <w:shd w:val="clear" w:fill="auto"/>
          <w:vertAlign w:val="superscript"/>
          <w:rtl w:val="0"/>
        </w:rPr>
        <w:t>45</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who points to differences in  the development of civic participation and activism in countries with “old” post communist regimes and legacies. </w:t>
      </w:r>
      <w:r>
        <w:drawing>
          <wp:anchor distT="19050" distB="19050" distL="19050" distR="19050" simplePos="0" relativeHeight="251659264" behindDoc="0" locked="0" layoutInCell="1" allowOverlap="1">
            <wp:simplePos x="0" y="0"/>
            <wp:positionH relativeFrom="column">
              <wp:posOffset>-390525</wp:posOffset>
            </wp:positionH>
            <wp:positionV relativeFrom="paragraph">
              <wp:posOffset>-1724660</wp:posOffset>
            </wp:positionV>
            <wp:extent cx="5988685" cy="6857365"/>
            <wp:effectExtent l="0" t="0" r="0" b="0"/>
            <wp:wrapSquare wrapText="bothSides"/>
            <wp:docPr id="47" name="image48.png"/>
            <wp:cNvGraphicFramePr/>
            <a:graphic xmlns:a="http://schemas.openxmlformats.org/drawingml/2006/main">
              <a:graphicData uri="http://schemas.openxmlformats.org/drawingml/2006/picture">
                <pic:pic xmlns:pic="http://schemas.openxmlformats.org/drawingml/2006/picture">
                  <pic:nvPicPr>
                    <pic:cNvPr id="47" name="image48.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5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13"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41 </w:t>
      </w:r>
      <w:r>
        <w:rPr>
          <w:rFonts w:ascii="Calibri" w:hAnsi="Calibri" w:eastAsia="Calibri" w:cs="Calibri"/>
          <w:b/>
          <w:bCs/>
          <w:i w:val="0"/>
          <w:iCs w:val="0"/>
          <w:smallCaps w:val="0"/>
          <w:strike w:val="0"/>
          <w:color w:val="000000"/>
          <w:sz w:val="19"/>
          <w:szCs w:val="19"/>
          <w:u w:val="none"/>
          <w:shd w:val="clear" w:fill="auto"/>
          <w:vertAlign w:val="baseline"/>
          <w:rtl w:val="0"/>
        </w:rPr>
        <w:t xml:space="preserve">Guasti, P. (2016).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5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42 </w:t>
      </w:r>
      <w:r>
        <w:rPr>
          <w:rFonts w:ascii="Calibri" w:hAnsi="Calibri" w:eastAsia="Calibri" w:cs="Calibri"/>
          <w:b/>
          <w:bCs/>
          <w:i w:val="0"/>
          <w:iCs w:val="0"/>
          <w:smallCaps w:val="0"/>
          <w:strike w:val="0"/>
          <w:color w:val="000000"/>
          <w:sz w:val="19"/>
          <w:szCs w:val="19"/>
          <w:u w:val="none"/>
          <w:shd w:val="clear" w:fill="auto"/>
          <w:vertAlign w:val="baseline"/>
          <w:rtl w:val="0"/>
        </w:rPr>
        <w:t xml:space="preserve">Chimiak, G. (2021).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5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43 </w:t>
      </w:r>
      <w:r>
        <w:rPr>
          <w:rFonts w:ascii="Calibri" w:hAnsi="Calibri" w:eastAsia="Calibri" w:cs="Calibri"/>
          <w:b/>
          <w:bCs/>
          <w:i w:val="0"/>
          <w:iCs w:val="0"/>
          <w:smallCaps w:val="0"/>
          <w:strike w:val="0"/>
          <w:color w:val="000000"/>
          <w:sz w:val="19"/>
          <w:szCs w:val="19"/>
          <w:u w:val="none"/>
          <w:shd w:val="clear" w:fill="auto"/>
          <w:vertAlign w:val="baseline"/>
          <w:rtl w:val="0"/>
        </w:rPr>
        <w:t xml:space="preserve">Pierobon, C. (2021).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5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1"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44 </w:t>
      </w:r>
      <w:r>
        <w:rPr>
          <w:rFonts w:ascii="Calibri" w:hAnsi="Calibri" w:eastAsia="Calibri" w:cs="Calibri"/>
          <w:b/>
          <w:bCs/>
          <w:i w:val="0"/>
          <w:iCs w:val="0"/>
          <w:smallCaps w:val="0"/>
          <w:strike w:val="0"/>
          <w:color w:val="000000"/>
          <w:sz w:val="19"/>
          <w:szCs w:val="19"/>
          <w:u w:val="none"/>
          <w:shd w:val="clear" w:fill="auto"/>
          <w:vertAlign w:val="baseline"/>
          <w:rtl w:val="0"/>
        </w:rPr>
        <w:t xml:space="preserve">Bernhard, M., &amp; Kaya, R. (2012).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 xml:space="preserve">. </w:t>
      </w:r>
    </w:p>
    <w:p w14:paraId="0000015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865" w:right="0" w:firstLine="0"/>
        <w:jc w:val="left"/>
        <w:rPr>
          <w:rFonts w:ascii="Calibri" w:hAnsi="Calibri" w:eastAsia="Calibri" w:cs="Calibri"/>
          <w:b/>
          <w:bCs/>
          <w:i w:val="0"/>
          <w:iCs w:val="0"/>
          <w:smallCaps w:val="0"/>
          <w:strike w:val="0"/>
          <w:color w:val="000000"/>
          <w:sz w:val="19"/>
          <w:szCs w:val="19"/>
          <w:u w:val="none"/>
          <w:shd w:val="clear" w:fill="auto"/>
          <w:vertAlign w:val="baseline"/>
        </w:rPr>
      </w:pPr>
      <w:r>
        <w:rPr>
          <w:rFonts w:ascii="Calibri" w:hAnsi="Calibri" w:eastAsia="Calibri" w:cs="Calibri"/>
          <w:b w:val="0"/>
          <w:bCs w:val="0"/>
          <w:i w:val="0"/>
          <w:iCs w:val="0"/>
          <w:smallCaps w:val="0"/>
          <w:strike w:val="0"/>
          <w:color w:val="000000"/>
          <w:sz w:val="21"/>
          <w:szCs w:val="21"/>
          <w:u w:val="none"/>
          <w:shd w:val="clear" w:fill="auto"/>
          <w:vertAlign w:val="superscript"/>
          <w:rtl w:val="0"/>
        </w:rPr>
        <w:t xml:space="preserve">45 </w:t>
      </w:r>
      <w:r>
        <w:rPr>
          <w:rFonts w:ascii="Calibri" w:hAnsi="Calibri" w:eastAsia="Calibri" w:cs="Calibri"/>
          <w:b/>
          <w:bCs/>
          <w:i w:val="0"/>
          <w:iCs w:val="0"/>
          <w:smallCaps w:val="0"/>
          <w:strike w:val="0"/>
          <w:color w:val="000000"/>
          <w:sz w:val="19"/>
          <w:szCs w:val="19"/>
          <w:u w:val="none"/>
          <w:shd w:val="clear" w:fill="auto"/>
          <w:vertAlign w:val="baseline"/>
          <w:rtl w:val="0"/>
        </w:rPr>
        <w:t xml:space="preserve">Stan, L. (2012). </w:t>
      </w:r>
      <w:r>
        <w:rPr>
          <w:rFonts w:ascii="Calibri" w:hAnsi="Calibri" w:eastAsia="Calibri" w:cs="Calibri"/>
          <w:b/>
          <w:bCs/>
          <w:i/>
          <w:iCs/>
          <w:smallCaps w:val="0"/>
          <w:strike w:val="0"/>
          <w:color w:val="000000"/>
          <w:sz w:val="19"/>
          <w:szCs w:val="19"/>
          <w:u w:val="none"/>
          <w:shd w:val="clear" w:fill="auto"/>
          <w:vertAlign w:val="baseline"/>
          <w:rtl w:val="0"/>
        </w:rPr>
        <w:t>Id</w:t>
      </w:r>
      <w:r>
        <w:rPr>
          <w:rFonts w:ascii="Calibri" w:hAnsi="Calibri" w:eastAsia="Calibri" w:cs="Calibri"/>
          <w:b/>
          <w:bCs/>
          <w:i w:val="0"/>
          <w:iCs w:val="0"/>
          <w:smallCaps w:val="0"/>
          <w:strike w:val="0"/>
          <w:color w:val="000000"/>
          <w:sz w:val="19"/>
          <w:szCs w:val="19"/>
          <w:u w:val="none"/>
          <w:shd w:val="clear" w:fill="auto"/>
          <w:vertAlign w:val="baseline"/>
          <w:rtl w:val="0"/>
        </w:rPr>
        <w:t>.</w:t>
      </w:r>
    </w:p>
    <w:p w14:paraId="0000015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8"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- 124 - </w:t>
      </w:r>
    </w:p>
    <w:p w14:paraId="0000015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26" w:lineRule="auto"/>
        <w:ind w:left="870" w:right="506" w:hanging="435"/>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49" name="image50.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6.  </w:t>
      </w:r>
      <w:r>
        <w:rPr>
          <w:rFonts w:ascii="Times New Roman" w:hAnsi="Times New Roman" w:eastAsia="Times New Roman" w:cs="Times New Roman"/>
          <w:b/>
          <w:bCs/>
          <w:i w:val="0"/>
          <w:iCs w:val="0"/>
          <w:smallCaps w:val="0"/>
          <w:strike w:val="0"/>
          <w:color w:val="000000"/>
          <w:sz w:val="24"/>
          <w:szCs w:val="24"/>
          <w:u w:val="none"/>
          <w:shd w:val="clear" w:fill="auto"/>
          <w:vertAlign w:val="baseline"/>
        </w:rPr>
        <w:drawing>
          <wp:inline distT="19050" distB="19050" distL="19050" distR="19050">
            <wp:extent cx="1524000" cy="457200"/>
            <wp:effectExtent l="0" t="0" r="0" b="0"/>
            <wp:docPr id="44" name="image45.png"/>
            <wp:cNvGraphicFramePr/>
            <a:graphic xmlns:a="http://schemas.openxmlformats.org/drawingml/2006/main">
              <a:graphicData uri="http://schemas.openxmlformats.org/drawingml/2006/picture">
                <pic:pic xmlns:pic="http://schemas.openxmlformats.org/drawingml/2006/picture">
                  <pic:nvPicPr>
                    <pic:cNvPr id="44" name="image45.png"/>
                    <pic:cNvPicPr preferRelativeResize="0"/>
                  </pic:nvPicPr>
                  <pic:blipFill>
                    <a:blip r:embed="rId16"/>
                    <a:srcRect/>
                    <a:stretch>
                      <a:fillRect/>
                    </a:stretch>
                  </pic:blipFill>
                  <pic:spPr>
                    <a:xfrm>
                      <a:off x="0" y="0"/>
                      <a:ext cx="1524000" cy="457200"/>
                    </a:xfrm>
                    <a:prstGeom prst="rect">
                      <a:avLst/>
                    </a:prstGeom>
                  </pic:spPr>
                </pic:pic>
              </a:graphicData>
            </a:graphic>
          </wp:inline>
        </w:drawing>
      </w:r>
      <w:r>
        <w:drawing>
          <wp:anchor distT="19050" distB="19050" distL="19050" distR="19050" simplePos="0" relativeHeight="251659264" behindDoc="0" locked="0" layoutInCell="1" allowOverlap="1">
            <wp:simplePos x="0" y="0"/>
            <wp:positionH relativeFrom="column">
              <wp:posOffset>-396240</wp:posOffset>
            </wp:positionH>
            <wp:positionV relativeFrom="paragraph">
              <wp:posOffset>836930</wp:posOffset>
            </wp:positionV>
            <wp:extent cx="5988685" cy="6857365"/>
            <wp:effectExtent l="0" t="0" r="0" b="0"/>
            <wp:wrapSquare wrapText="bothSides"/>
            <wp:docPr id="46" name="image47.png"/>
            <wp:cNvGraphicFramePr/>
            <a:graphic xmlns:a="http://schemas.openxmlformats.org/drawingml/2006/main">
              <a:graphicData uri="http://schemas.openxmlformats.org/drawingml/2006/picture">
                <pic:pic xmlns:pic="http://schemas.openxmlformats.org/drawingml/2006/picture">
                  <pic:nvPicPr>
                    <pic:cNvPr id="46" name="image47.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5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84" w:after="0" w:line="229" w:lineRule="auto"/>
        <w:ind w:left="863" w:right="865" w:firstLine="5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The study demonstrates that there is a link between a high level of democracy  (Estonia, Lithuania, Czech Republic, Slovakia, Latvia, Romania, Poland, Croatia) and a  high level of CSO involvement in the political system, resilience and active citizenship.  In countries that have chosen the European course of development, despite the support  of the population, democratic transition has been faster and the political situation has  stabilized. Instead, in countries where there is external political pressure and  involvement (Ukraine, Moldova, Serbia, Georgia), the active role of society contributed  to reforms, although these countries are still in the process of transition and the  establishment of democratic values. Civil society in countries with hybrid regimes acts  as an agent of pressure on the authorities and support for reforms, but is limited by  internal political instability and external influence. At the same time, the role of civil  society in these countries is growing, despite a significant gap with countries with a  high degree of democratization. The influence of CSOs in this region remains at an  average level, in the form of public control, digitalization and development of e democracy, and anti-corruption initiatives. The absence of an independent judiciary  hinders the development of CS. In countries with authoritarian regimes, the civil society  contribution is rather limited, which causes both its weak influence on making political  decisions and the weakness of the democratic transition, as well as repressive policies  towards civic activists. </w:t>
      </w:r>
    </w:p>
    <w:p w14:paraId="0000015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96" w:after="0" w:line="240" w:lineRule="auto"/>
        <w:ind w:left="1428"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1743075" cy="590550"/>
            <wp:effectExtent l="0" t="0" r="0" b="0"/>
            <wp:docPr id="54" name="image55.png"/>
            <wp:cNvGraphicFramePr/>
            <a:graphic xmlns:a="http://schemas.openxmlformats.org/drawingml/2006/main">
              <a:graphicData uri="http://schemas.openxmlformats.org/drawingml/2006/picture">
                <pic:pic xmlns:pic="http://schemas.openxmlformats.org/drawingml/2006/picture">
                  <pic:nvPicPr>
                    <pic:cNvPr id="54" name="image55.png"/>
                    <pic:cNvPicPr preferRelativeResize="0"/>
                  </pic:nvPicPr>
                  <pic:blipFill>
                    <a:blip r:embed="rId16"/>
                    <a:srcRect/>
                    <a:stretch>
                      <a:fillRect/>
                    </a:stretch>
                  </pic:blipFill>
                  <pic:spPr>
                    <a:xfrm>
                      <a:off x="0" y="0"/>
                      <a:ext cx="1743075" cy="590550"/>
                    </a:xfrm>
                    <a:prstGeom prst="rect">
                      <a:avLst/>
                    </a:prstGeom>
                  </pic:spPr>
                </pic:pic>
              </a:graphicData>
            </a:graphic>
          </wp:inline>
        </w:drawing>
      </w:r>
    </w:p>
    <w:p w14:paraId="0000015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04" w:after="0" w:line="344" w:lineRule="auto"/>
        <w:ind w:left="1571" w:right="861" w:firstLine="25"/>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Baća, B. (2022). Practice theory and postsocialist civil society: Toward a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new analytical framework.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International Political Sociology</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16</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(1), olab021.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https://doi.org/10.1093/ips/olab021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5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4" w:lineRule="auto"/>
        <w:ind w:left="1571" w:right="860" w:firstLine="5"/>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2.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Belei S., Lopatynskyi Y., Lahodyn N., Nezhyd Y., Petrukha N. (2024).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The Role of Uneven Agricultural Business Growth in Shaping the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Socioeconomic Landscape of Rural Regions.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AD ALTA</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14</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(2/XLV), 212–218.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https://www.magnanimitas.cz/ADALTA/140245/papers/G_31.pdf</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5" w:lineRule="auto"/>
        <w:ind w:left="1571" w:right="860" w:firstLine="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3.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Bernhard, M., &amp; Jung, D. J. (2017). Civil society and income inequality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in post-communist Eurasia.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Comparative Politics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49</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(3), 373-397.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https://doi.org/10.5129/001041517820934249</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5" w:lineRule="auto"/>
        <w:ind w:left="1575" w:right="867" w:hanging="2"/>
        <w:jc w:val="left"/>
        <w:rPr>
          <w:rFonts w:ascii="Times New Roman" w:hAnsi="Times New Roman" w:eastAsia="Times New Roman" w:cs="Times New Roman"/>
          <w:b w:val="0"/>
          <w:bCs w:val="0"/>
          <w:i w:val="0"/>
          <w:iCs w:val="0"/>
          <w:smallCaps w:val="0"/>
          <w:strike w:val="0"/>
          <w:color w:val="000000"/>
          <w:sz w:val="24"/>
          <w:szCs w:val="24"/>
          <w:highlight w:val="white"/>
          <w:u w:val="none"/>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4.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Bernhard, M., &amp; Kaya, R. (2012). Civil society and regime type in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European post-communist countries: The perspective two decades after 1989-</w:t>
      </w:r>
    </w:p>
    <w:p w14:paraId="0000016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26"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- 125 - </w:t>
      </w:r>
    </w:p>
    <w:p w14:paraId="0000016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1571" w:right="506" w:hanging="1136"/>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56" name="image57.png"/>
            <wp:cNvGraphicFramePr/>
            <a:graphic xmlns:a="http://schemas.openxmlformats.org/drawingml/2006/main">
              <a:graphicData uri="http://schemas.openxmlformats.org/drawingml/2006/picture">
                <pic:pic xmlns:pic="http://schemas.openxmlformats.org/drawingml/2006/picture">
                  <pic:nvPicPr>
                    <pic:cNvPr id="56" name="image57.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1991.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Taiwan Journal of Democracy</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8</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(2), 113-126.</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https://doi.org/10.29654/TJD.201212.0011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-841375</wp:posOffset>
            </wp:positionH>
            <wp:positionV relativeFrom="paragraph">
              <wp:posOffset>836930</wp:posOffset>
            </wp:positionV>
            <wp:extent cx="5988685" cy="6857365"/>
            <wp:effectExtent l="0" t="0" r="0" b="0"/>
            <wp:wrapSquare wrapText="bothSides"/>
            <wp:docPr id="51" name="image52.png"/>
            <wp:cNvGraphicFramePr/>
            <a:graphic xmlns:a="http://schemas.openxmlformats.org/drawingml/2006/main">
              <a:graphicData uri="http://schemas.openxmlformats.org/drawingml/2006/picture">
                <pic:pic xmlns:pic="http://schemas.openxmlformats.org/drawingml/2006/picture">
                  <pic:nvPicPr>
                    <pic:cNvPr id="51" name="image52.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6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3" w:after="0" w:line="345" w:lineRule="auto"/>
        <w:ind w:left="1569" w:right="860" w:firstLine="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5.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Bolleyer, N., &amp; Correa, P. (2022). Member influence and involvement in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civil society organizations: A resource dependency perspective on groups and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arties.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Political Studies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70</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(2), 519-540.</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https://doi.org/10.1177/0032321720968018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5" w:lineRule="auto"/>
        <w:ind w:left="1562" w:right="860" w:firstLine="1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6.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Chimiak, G. (2021). The internationalization of Polish civil society elites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and their impact on development cooperation policy and practice.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International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J</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ournal of Sociology and Social Policy, 41</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(5/6), 748-761.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https://doi.org/10.1108/IJSSP-06-2020-0208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4" w:lineRule="auto"/>
        <w:ind w:left="1571" w:right="860" w:firstLine="3"/>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7.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Foa, R. S., &amp; Ekiert, G. (2016). The weakness of postcommunist civil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society reassessed.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European Journal of Political Research</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56</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(2), 419-439.</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https://doi.org/10.1111/1475-6765.12182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4" w:lineRule="auto"/>
        <w:ind w:left="1571" w:right="860" w:firstLine="1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8.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Green, A. T. (2002). Comparative development of post-communist civil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societies.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Europe-Asia Studies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54</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(3), 455-471.</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https://doi.org/10.1080/09668130220129560</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4" w:lineRule="auto"/>
        <w:ind w:left="1562" w:right="860" w:firstLine="15"/>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9.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Howard, M. M. (2002). The weakness of postcommunist civil society.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J</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ournal of democracy</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13</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(1), 157-169. https://doi.org/10.1353/jod.2002.0008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10.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Kákai, L., &amp; Bejma, A. (2022). Legal and practical conditions of the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functioning of the civil society organizations in Hungary and Poland.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Eastern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J</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ournal of European Studies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13</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120-139. https://doi.org/10.47743/ejes-2022-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SI07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4" w:lineRule="auto"/>
        <w:ind w:left="1564" w:right="860" w:firstLine="31"/>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11.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Kalemaj, I. (2021). Transitional justice and democratic consolidation in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ost-communist Eastern Europe: Romania and Albania.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Eastern Journal of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E</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uropean Studies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12</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(1), 81-103. https://doi.org/10.47743/ejes-2021-0104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Kostovicova, D. (2006). Civil society and post-communist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democratization: Facing a double challenge in post-Milošević Serbia.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Journal of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Civil Society</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2</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(1), 21-37. https://doi.org/10.1080/17448680600730918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3" w:lineRule="auto"/>
        <w:ind w:left="1576" w:right="864" w:firstLine="19"/>
        <w:jc w:val="left"/>
        <w:rPr>
          <w:rFonts w:ascii="Times New Roman" w:hAnsi="Times New Roman" w:eastAsia="Times New Roman" w:cs="Times New Roman"/>
          <w:b w:val="0"/>
          <w:bCs w:val="0"/>
          <w:i w:val="0"/>
          <w:iCs w:val="0"/>
          <w:smallCaps w:val="0"/>
          <w:strike w:val="0"/>
          <w:color w:val="000000"/>
          <w:sz w:val="24"/>
          <w:szCs w:val="24"/>
          <w:highlight w:val="white"/>
          <w:u w:val="none"/>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13.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Pierobon, C. (2021). European Union, civil society and local ownership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in Kyrgyzstan: analysing patterns of adaptation, reinterpretation and contestation </w:t>
      </w:r>
    </w:p>
    <w:p w14:paraId="0000016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52"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- 126 - </w:t>
      </w:r>
    </w:p>
    <w:p w14:paraId="0000016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1576" w:right="506" w:hanging="1141"/>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3" name="image3.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in the prevention of violent extremism (PVE).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Central Asian Survey, 41</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(4), 752-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769. https://doi.org/10.1080/02634937.2021.1905608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-844550</wp:posOffset>
            </wp:positionH>
            <wp:positionV relativeFrom="paragraph">
              <wp:posOffset>836930</wp:posOffset>
            </wp:positionV>
            <wp:extent cx="5988685" cy="6857365"/>
            <wp:effectExtent l="0" t="0" r="0" b="0"/>
            <wp:wrapSquare wrapText="bothSides"/>
            <wp:docPr id="4" name="image4.png"/>
            <wp:cNvGraphicFramePr/>
            <a:graphic xmlns:a="http://schemas.openxmlformats.org/drawingml/2006/main">
              <a:graphicData uri="http://schemas.openxmlformats.org/drawingml/2006/picture">
                <pic:pic xmlns:pic="http://schemas.openxmlformats.org/drawingml/2006/picture">
                  <pic:nvPicPr>
                    <pic:cNvPr id="4" name="image4.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6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3" w:after="0" w:line="345" w:lineRule="auto"/>
        <w:ind w:left="1564" w:right="860" w:firstLine="31"/>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14.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Pietrzyk-Reeves, D. (2022). Rethinking theoretical approaches to civil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society in Central and Eastern Europe: Toward a dynamic approach.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East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E</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uropean Politics and Societies</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36</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(4), 1335-1354.</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https://doi.org/10.1177/08883254221081037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5" w:lineRule="auto"/>
        <w:ind w:left="1571" w:right="861" w:firstLine="25"/>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15.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Pinckney, J., Butcher, C., &amp; Braithwaite, J. M. (2022). Organizations,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resistance, and democracy: How civil society organizations impact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democratization.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International Studies Quarterly</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66</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(1), sqab094.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https://doi.org/10.1093/isq/sqab094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6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4" w:lineRule="auto"/>
        <w:ind w:left="1571" w:right="862" w:firstLine="24"/>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16.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Stefes, C. H., &amp; Paturyan, Y. J. (2021). After the revolution: State, civil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society, and democratization in Armenia and Georgia.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Frontiers in Political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Science</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3</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719478. https://doi.org/10.3389/fpos.2021.719478</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3" w:lineRule="auto"/>
        <w:ind w:left="1577" w:right="933" w:firstLine="18"/>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17.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V-Dem Institute. (n.d.). V-Dem Yearly Variable Graph Tool. https://v dem.net/data_analysis/VariableGraph/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7" w:after="0" w:line="240" w:lineRule="auto"/>
        <w:ind w:left="867" w:right="0" w:firstLine="0"/>
        <w:jc w:val="left"/>
        <w:rPr>
          <w:rFonts w:ascii="Times New Roman" w:hAnsi="Times New Roman" w:eastAsia="Times New Roman" w:cs="Times New Roman"/>
          <w:b/>
          <w:bCs/>
          <w:i w:val="0"/>
          <w:iCs w:val="0"/>
          <w:smallCaps w:val="0"/>
          <w:strike w:val="0"/>
          <w:color w:val="000000"/>
          <w:sz w:val="24"/>
          <w:szCs w:val="24"/>
          <w:u w:val="none"/>
          <w:shd w:val="clear" w:fill="auto"/>
          <w:vertAlign w:val="baseline"/>
        </w:rPr>
      </w:pPr>
      <w:r>
        <w:rPr>
          <w:rFonts w:ascii="Times New Roman" w:hAnsi="Times New Roman" w:eastAsia="Times New Roman" w:cs="Times New Roman"/>
          <w:b/>
          <w:bCs/>
          <w:i w:val="0"/>
          <w:iCs w:val="0"/>
          <w:smallCaps w:val="0"/>
          <w:strike w:val="0"/>
          <w:color w:val="000000"/>
          <w:sz w:val="24"/>
          <w:szCs w:val="24"/>
          <w:highlight w:val="white"/>
          <w:u w:val="none"/>
          <w:vertAlign w:val="baseline"/>
          <w:rtl w:val="0"/>
        </w:rPr>
        <w:t>Books</w:t>
      </w:r>
      <w:r>
        <w:rPr>
          <w:rFonts w:ascii="Times New Roman" w:hAnsi="Times New Roman" w:eastAsia="Times New Roman" w:cs="Times New Roman"/>
          <w:b/>
          <w:bCs/>
          <w:i w:val="0"/>
          <w:iCs w:val="0"/>
          <w:smallCaps w:val="0"/>
          <w:strike w:val="0"/>
          <w:color w:val="000000"/>
          <w:sz w:val="24"/>
          <w:szCs w:val="24"/>
          <w:u w:val="none"/>
          <w:shd w:val="clear" w:fill="auto"/>
          <w:vertAlign w:val="baseline"/>
          <w:rtl w:val="0"/>
        </w:rPr>
        <w:t xml:space="preserve"> </w:t>
      </w:r>
    </w:p>
    <w:p w14:paraId="0000017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44" w:lineRule="auto"/>
        <w:ind w:left="1146" w:right="860" w:hanging="258"/>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1.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Ekiert, G., (2021). Civil society as a threat to democracy.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In The power of populism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and people: Resistance and protest in the modern world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(pp. 53-71).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https://doi.org/10.5040/9781350211452.0007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 w:after="0" w:line="344" w:lineRule="auto"/>
        <w:ind w:left="1140" w:right="861" w:hanging="270"/>
        <w:jc w:val="both"/>
        <w:rPr>
          <w:rFonts w:ascii="Times New Roman" w:hAnsi="Times New Roman" w:eastAsia="Times New Roman" w:cs="Times New Roman"/>
          <w:b w:val="0"/>
          <w:bCs w:val="0"/>
          <w:i w:val="0"/>
          <w:iCs w:val="0"/>
          <w:smallCaps w:val="0"/>
          <w:strike w:val="0"/>
          <w:color w:val="000000"/>
          <w:sz w:val="24"/>
          <w:szCs w:val="24"/>
          <w:highlight w:val="white"/>
          <w:u w:val="none"/>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2.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Guasti, P. (2016). A Panacea for Democratic Legitimation? Assessing the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Engagement of Civil Society with EU Treaty Reform Politics. In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Democratising the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E</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U from Below?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(pp. 135-163). Routledge.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https://www.soc.cas.cz/en/publications/panacea-democratic-legitimation-assessing </w:t>
      </w:r>
    </w:p>
    <w:p w14:paraId="0000017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240" w:lineRule="auto"/>
        <w:ind w:left="1154"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engagement-civil-society-eu-treaty-reform</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32" w:after="0" w:line="345" w:lineRule="auto"/>
        <w:ind w:left="1144" w:right="861" w:hanging="272"/>
        <w:jc w:val="both"/>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3.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Ishkanian, A. (2014). Engineered civil society: The impact of 20 years of democracy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romotion on civil society development in former soviet countries. In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Civil society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and democracy promotion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(pp. 150-170). London: Palgrave Macmillan UK.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https://doi.org/10.1057/9781137291097_8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5" w:lineRule="auto"/>
        <w:ind w:left="1149" w:right="926" w:hanging="284"/>
        <w:jc w:val="left"/>
        <w:rPr>
          <w:rFonts w:ascii="Times New Roman" w:hAnsi="Times New Roman" w:eastAsia="Times New Roman" w:cs="Times New Roman"/>
          <w:b w:val="0"/>
          <w:bCs w:val="0"/>
          <w:i w:val="0"/>
          <w:iCs w:val="0"/>
          <w:smallCaps w:val="0"/>
          <w:strike w:val="0"/>
          <w:color w:val="000000"/>
          <w:sz w:val="24"/>
          <w:szCs w:val="24"/>
          <w:highlight w:val="white"/>
          <w:u w:val="none"/>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4.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Jacobsson, K., &amp; Korolczuk, E. (2017).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Civil society revisited: Lessons from Poland.</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Berghahn Books</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https://doi.org/10.2307/j.ctvw04jx2</w:t>
      </w:r>
    </w:p>
    <w:p w14:paraId="0000017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11"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- 127 - </w:t>
      </w:r>
    </w:p>
    <w:p w14:paraId="0000017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59" w:lineRule="auto"/>
        <w:ind w:left="869" w:right="506" w:hanging="434"/>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drawing>
          <wp:inline distT="19050" distB="19050" distL="19050" distR="19050">
            <wp:extent cx="5935980" cy="72263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16"/>
                    <a:srcRect/>
                    <a:stretch>
                      <a:fillRect/>
                    </a:stretch>
                  </pic:blipFill>
                  <pic:spPr>
                    <a:xfrm>
                      <a:off x="0" y="0"/>
                      <a:ext cx="5935980" cy="722630"/>
                    </a:xfrm>
                    <a:prstGeom prst="rect">
                      <a:avLst/>
                    </a:prstGeom>
                  </pic:spPr>
                </pic:pic>
              </a:graphicData>
            </a:graphic>
          </wp:inline>
        </w:drawing>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5.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Stoltzfus, N., &amp; Osmar, C. (2021).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The power of populism and people: Resistance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and protest in the modern world.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London: Bloomsbury Academic.</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https://doi.org/10.5040/9781350211452</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drawing>
          <wp:anchor distT="19050" distB="19050" distL="19050" distR="19050" simplePos="0" relativeHeight="251659264" behindDoc="0" locked="0" layoutInCell="1" allowOverlap="1">
            <wp:simplePos x="0" y="0"/>
            <wp:positionH relativeFrom="column">
              <wp:posOffset>-395605</wp:posOffset>
            </wp:positionH>
            <wp:positionV relativeFrom="paragraph">
              <wp:posOffset>836930</wp:posOffset>
            </wp:positionV>
            <wp:extent cx="5988685" cy="6857365"/>
            <wp:effectExtent l="0" t="0" r="0" b="0"/>
            <wp:wrapSquare wrapText="bothSides"/>
            <wp:docPr id="2" name="image2.png"/>
            <wp:cNvGraphicFramePr/>
            <a:graphic xmlns:a="http://schemas.openxmlformats.org/drawingml/2006/main">
              <a:graphicData uri="http://schemas.openxmlformats.org/drawingml/2006/picture">
                <pic:pic xmlns:pic="http://schemas.openxmlformats.org/drawingml/2006/picture">
                  <pic:nvPicPr>
                    <pic:cNvPr id="2" name="image2.png"/>
                    <pic:cNvPicPr preferRelativeResize="0"/>
                  </pic:nvPicPr>
                  <pic:blipFill>
                    <a:blip r:embed="rId16"/>
                    <a:srcRect/>
                    <a:stretch>
                      <a:fillRect/>
                    </a:stretch>
                  </pic:blipFill>
                  <pic:spPr>
                    <a:xfrm>
                      <a:off x="0" y="0"/>
                      <a:ext cx="5988812" cy="6857366"/>
                    </a:xfrm>
                    <a:prstGeom prst="rect">
                      <a:avLst/>
                    </a:prstGeom>
                  </pic:spPr>
                </pic:pic>
              </a:graphicData>
            </a:graphic>
          </wp:anchor>
        </w:drawing>
      </w:r>
    </w:p>
    <w:p w14:paraId="0000017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0" w:after="0" w:line="344" w:lineRule="auto"/>
        <w:ind w:left="1119" w:right="861" w:hanging="246"/>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6.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Ost, D. (2012). The decline of civil society after ‘post-communism’. In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The new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p</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olitics of European civil society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(pp. 163-177). Routledge.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https://www.taylorfrancis.com/chapters/edit/10.4324/9780203836682-12/decline civil-society-post-communism-david-ost</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 w:after="0" w:line="345" w:lineRule="auto"/>
        <w:ind w:left="1146" w:right="862" w:hanging="266"/>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7.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Sellers, J. M., Lidström, A., &amp; Bae, Y. (2020).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Multilevel democracy: How local </w:t>
      </w:r>
      <w:r>
        <w:rPr>
          <w:rFonts w:ascii="Times New Roman" w:hAnsi="Times New Roman" w:eastAsia="Times New Roman" w:cs="Times New Roman"/>
          <w:b w:val="0"/>
          <w:bCs w:val="0"/>
          <w:i/>
          <w:iCs/>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institutions and civil society shape the modern state.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Cambridge University Press.</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https://doi.org/10.1017/9781108672337</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p>
    <w:p w14:paraId="0000017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7" w:after="0" w:line="344" w:lineRule="auto"/>
        <w:ind w:left="1142" w:right="862" w:hanging="266"/>
        <w:jc w:val="both"/>
        <w:rPr>
          <w:rFonts w:ascii="Times New Roman" w:hAnsi="Times New Roman" w:eastAsia="Times New Roman" w:cs="Times New Roman"/>
          <w:b w:val="0"/>
          <w:bCs w:val="0"/>
          <w:i w:val="0"/>
          <w:iCs w:val="0"/>
          <w:smallCaps w:val="0"/>
          <w:strike w:val="0"/>
          <w:color w:val="000000"/>
          <w:sz w:val="24"/>
          <w:szCs w:val="24"/>
          <w:highlight w:val="white"/>
          <w:u w:val="none"/>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8.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Stan, L. (2012). Civil society and post-communist transitional justice in Romania. In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w:t>
      </w:r>
      <w:r>
        <w:rPr>
          <w:rFonts w:ascii="Times New Roman" w:hAnsi="Times New Roman" w:eastAsia="Times New Roman" w:cs="Times New Roman"/>
          <w:b w:val="0"/>
          <w:bCs w:val="0"/>
          <w:i/>
          <w:iCs/>
          <w:smallCaps w:val="0"/>
          <w:strike w:val="0"/>
          <w:color w:val="000000"/>
          <w:sz w:val="24"/>
          <w:szCs w:val="24"/>
          <w:highlight w:val="white"/>
          <w:u w:val="none"/>
          <w:vertAlign w:val="baseline"/>
          <w:rtl w:val="0"/>
        </w:rPr>
        <w:t xml:space="preserve">Transitional justice and civil society in the Balkans </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(pp. 17-31). New York: Springer </w:t>
      </w: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N</w:t>
      </w:r>
      <w:r>
        <w:rPr>
          <w:rFonts w:ascii="Times New Roman" w:hAnsi="Times New Roman" w:eastAsia="Times New Roman" w:cs="Times New Roman"/>
          <w:b w:val="0"/>
          <w:bCs w:val="0"/>
          <w:i w:val="0"/>
          <w:iCs w:val="0"/>
          <w:smallCaps w:val="0"/>
          <w:strike w:val="0"/>
          <w:color w:val="000000"/>
          <w:sz w:val="24"/>
          <w:szCs w:val="24"/>
          <w:highlight w:val="white"/>
          <w:u w:val="none"/>
          <w:vertAlign w:val="baseline"/>
          <w:rtl w:val="0"/>
        </w:rPr>
        <w:t xml:space="preserve">ew York. https://doi.org/10.1007/978-1-4614-5422-9_2 </w:t>
      </w:r>
    </w:p>
    <w:p w14:paraId="0000017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689" w:after="0" w:line="240" w:lineRule="auto"/>
        <w:ind w:left="0" w:right="0" w:firstLine="0"/>
        <w:jc w:val="cente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tl w:val="0"/>
        </w:rPr>
        <w:t xml:space="preserve">- 128 - </w:t>
      </w:r>
    </w:p>
    <w:sectPr>
      <w:type w:val="continuous"/>
      <w:pgSz w:w="11900" w:h="16820"/>
      <w:pgMar w:top="835" w:right="770" w:bottom="893" w:left="840" w:header="0" w:footer="720" w:gutter="0"/>
      <w:cols w:equalWidth="0" w:num="1">
        <w:col w:w="10289"/>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A481622F-790A-4224-A37B-65EEEFE1FCEE}"/>
  </w:font>
  <w:font w:name="Courier New">
    <w:panose1 w:val="02070309020205020404"/>
    <w:charset w:val="00"/>
    <w:family w:val="modern"/>
    <w:pitch w:val="default"/>
    <w:sig w:usb0="E0002EFF" w:usb1="C0007843" w:usb2="00000009" w:usb3="00000000" w:csb0="400001FF" w:csb1="FFFF0000"/>
    <w:embedRegular r:id="rId2" w:fontKey="{ADEA6E5C-9D01-42A8-92B6-808E8ADABCE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777A7EE4-21CB-441B-8A29-5C32AAA333E3}"/>
  </w:font>
  <w:font w:name="Calibri">
    <w:panose1 w:val="020F0502020204030204"/>
    <w:charset w:val="00"/>
    <w:family w:val="swiss"/>
    <w:pitch w:val="default"/>
    <w:sig w:usb0="E4002EFF" w:usb1="C200247B" w:usb2="00000009" w:usb3="00000000" w:csb0="200001FF" w:csb1="00000000"/>
    <w:embedRegular r:id="rId4" w:fontKey="{E346B3A3-739E-4540-A9B1-97DCCFA65014}"/>
  </w:font>
  <w:font w:name="Georgia">
    <w:panose1 w:val="02040502050405020303"/>
    <w:charset w:val="00"/>
    <w:family w:val="auto"/>
    <w:pitch w:val="default"/>
    <w:sig w:usb0="00000287" w:usb1="00000000" w:usb2="00000000" w:usb3="00000000" w:csb0="2000009F" w:csb1="00000000"/>
    <w:embedRegular r:id="rId5" w:fontKey="{A0C5B934-71E5-415A-A639-946B9019DC1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1C3F39E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uiPriority w:val="0"/>
    <w:pPr>
      <w:spacing w:line="276" w:lineRule="auto"/>
    </w:pPr>
    <w:rPr>
      <w:rFonts w:ascii="Arial" w:hAnsi="Arial" w:eastAsia="Arial" w:cs="Arial"/>
      <w:sz w:val="22"/>
      <w:szCs w:val="22"/>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Subtitle"/>
    <w:basedOn w:val="1"/>
    <w:next w:val="1"/>
    <w:uiPriority w:val="0"/>
    <w:pPr>
      <w:keepNext/>
      <w:keepLines/>
      <w:pageBreakBefore w:val="0"/>
      <w:spacing w:before="360" w:after="80"/>
    </w:pPr>
    <w:rPr>
      <w:rFonts w:ascii="Georgia" w:hAnsi="Georgia" w:eastAsia="Georgia" w:cs="Georgia"/>
      <w:i/>
      <w:iCs/>
      <w:color w:val="666666"/>
      <w:sz w:val="48"/>
      <w:szCs w:val="48"/>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uiPriority w:val="0"/>
  </w:style>
  <w:style w:type="table" w:customStyle="1" w:styleId="14">
    <w:name w:val="_Style 11"/>
    <w:basedOn w:val="12"/>
    <w:qFormat/>
    <w:uiPriority w:val="0"/>
  </w:style>
  <w:style w:type="table" w:customStyle="1" w:styleId="15">
    <w:name w:val="_Style 12"/>
    <w:basedOn w:val="12"/>
    <w:qFormat/>
    <w:uiPriority w:val="0"/>
  </w:style>
  <w:style w:type="table" w:customStyle="1" w:styleId="16">
    <w:name w:val="_Style 13"/>
    <w:basedOn w:val="12"/>
    <w:qFormat/>
    <w:uiPriority w:val="0"/>
  </w:style>
  <w:style w:type="table" w:customStyle="1" w:styleId="17">
    <w:name w:val="_Style 14"/>
    <w:basedOn w:val="12"/>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51</Pages>
  <TotalTime>0</TotalTime>
  <ScaleCrop>false</ScaleCrop>
  <LinksUpToDate>false</LinksUpToDate>
  <Application>WPS Office_12.2.0.22549_F1E327BC-269C-435d-A152-05C5408002CA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2025-12-19T08:00:14Z</dcterms:created>
  <dc:creator>User</dc:creator>
  <cp:lastModifiedBy>User</cp:lastModifiedBy>
  <dcterms:modified xsi:type="dcterms:W3CDTF">2025-12-19T08:01:10Z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1049-12.2.0.22549</vt:lpwstr>
  </property>
  <property fmtid="{D5CDD505-2E9C-101B-9397-08002B2CF9AE}" pid="3" name="ICV">
    <vt:lpwstr>03163A274F294DBAA1B18DBEF4DF46B6_13</vt:lpwstr>
  </property>
</Properties>
</file>