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0A90" w14:textId="068D35E2" w:rsidR="00DF76CE" w:rsidRPr="00EC3996" w:rsidRDefault="00DF76CE" w:rsidP="00DF76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УДК 614</w:t>
      </w:r>
      <w:r w:rsidR="00E90DA7"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70BE6EA" w14:textId="52116384" w:rsidR="00ED0CCD" w:rsidRDefault="00ED0CCD" w:rsidP="00ED0CCD">
      <w:pPr>
        <w:pStyle w:val="a3"/>
        <w:widowControl w:val="0"/>
        <w:spacing w:before="0" w:beforeAutospacing="0" w:after="0" w:afterAutospacing="0"/>
        <w:jc w:val="center"/>
        <w:rPr>
          <w:b/>
          <w:bCs/>
        </w:rPr>
      </w:pPr>
      <w:r w:rsidRPr="006A690C">
        <w:rPr>
          <w:b/>
          <w:bCs/>
        </w:rPr>
        <w:t>АНАЛІЗ ТЕХНІЧНОГО</w:t>
      </w:r>
      <w:r>
        <w:rPr>
          <w:b/>
          <w:bCs/>
          <w:lang w:val="uk-UA"/>
        </w:rPr>
        <w:t xml:space="preserve"> </w:t>
      </w:r>
      <w:r w:rsidRPr="006A690C">
        <w:rPr>
          <w:b/>
          <w:bCs/>
        </w:rPr>
        <w:t xml:space="preserve">ТЕНДЕНЦІЇ РОЗВИТКУ ВИБУХОЗАХИЩЕНИХ ПОЖЕЖНИХ СПОВІЩУВАЧІВ У </w:t>
      </w:r>
      <w:r>
        <w:rPr>
          <w:b/>
          <w:bCs/>
        </w:rPr>
        <w:t>КРАЇНАХ ЄС</w:t>
      </w:r>
    </w:p>
    <w:p w14:paraId="52E80F30" w14:textId="77777777" w:rsidR="004E4AF0" w:rsidRPr="00EC3996" w:rsidRDefault="004E4AF0" w:rsidP="004E4AF0">
      <w:pPr>
        <w:pStyle w:val="a3"/>
        <w:spacing w:before="0" w:beforeAutospacing="0" w:after="0" w:afterAutospacing="0"/>
        <w:ind w:firstLine="709"/>
        <w:jc w:val="center"/>
        <w:rPr>
          <w:lang w:val="uk-UA"/>
        </w:rPr>
      </w:pPr>
    </w:p>
    <w:p w14:paraId="164A355E" w14:textId="77777777" w:rsidR="00646B99" w:rsidRPr="00EC3996" w:rsidRDefault="00646B99" w:rsidP="00646B99">
      <w:pPr>
        <w:pStyle w:val="a3"/>
        <w:spacing w:before="0" w:beforeAutospacing="0" w:after="0" w:afterAutospacing="0"/>
        <w:ind w:firstLine="709"/>
        <w:jc w:val="center"/>
        <w:rPr>
          <w:lang w:val="uk-UA"/>
        </w:rPr>
      </w:pPr>
      <w:r w:rsidRPr="00ED0CCD">
        <w:rPr>
          <w:sz w:val="22"/>
          <w:szCs w:val="22"/>
          <w:lang w:val="uk-UA"/>
        </w:rPr>
        <w:t>Мірошниченко Д</w:t>
      </w:r>
      <w:r>
        <w:rPr>
          <w:sz w:val="22"/>
          <w:szCs w:val="22"/>
          <w:lang w:val="uk-UA"/>
        </w:rPr>
        <w:t>.Ю., студент</w:t>
      </w:r>
      <w:r w:rsidRPr="00EC3996">
        <w:rPr>
          <w:color w:val="000000"/>
          <w:lang w:val="uk-UA"/>
        </w:rPr>
        <w:t>, НУЦЗ України</w:t>
      </w:r>
    </w:p>
    <w:p w14:paraId="67729194" w14:textId="2A9FE3AD" w:rsidR="00DF76CE" w:rsidRDefault="00ED0CCD" w:rsidP="00DF76CE">
      <w:pPr>
        <w:pStyle w:val="a3"/>
        <w:spacing w:before="0" w:beforeAutospacing="0" w:after="0" w:afterAutospacing="0"/>
        <w:ind w:firstLine="709"/>
        <w:jc w:val="center"/>
        <w:rPr>
          <w:color w:val="000000"/>
          <w:lang w:val="uk-UA"/>
        </w:rPr>
      </w:pPr>
      <w:r w:rsidRPr="00ED0CCD">
        <w:rPr>
          <w:color w:val="000000"/>
          <w:lang w:val="uk-UA"/>
        </w:rPr>
        <w:t>Парамонова К.О</w:t>
      </w:r>
      <w:r>
        <w:rPr>
          <w:color w:val="000000"/>
          <w:lang w:val="uk-UA"/>
        </w:rPr>
        <w:t>.,</w:t>
      </w:r>
      <w:r w:rsidRPr="00ED0CCD">
        <w:rPr>
          <w:color w:val="000000"/>
          <w:lang w:val="uk-UA"/>
        </w:rPr>
        <w:t xml:space="preserve"> </w:t>
      </w:r>
      <w:r w:rsidR="004E4AF0" w:rsidRPr="00EC3996">
        <w:rPr>
          <w:color w:val="000000"/>
          <w:lang w:val="uk-UA"/>
        </w:rPr>
        <w:t>магістр, НУЦЗ України</w:t>
      </w:r>
    </w:p>
    <w:p w14:paraId="3147BF9F" w14:textId="4E924F45" w:rsidR="00DF76CE" w:rsidRPr="00EC3996" w:rsidRDefault="00DF76CE" w:rsidP="00DF76CE">
      <w:pPr>
        <w:pStyle w:val="a3"/>
        <w:spacing w:before="0" w:beforeAutospacing="0" w:after="0" w:afterAutospacing="0"/>
        <w:ind w:firstLine="709"/>
        <w:jc w:val="center"/>
        <w:rPr>
          <w:color w:val="000000"/>
          <w:lang w:val="uk-UA"/>
        </w:rPr>
      </w:pPr>
      <w:r w:rsidRPr="00EC3996">
        <w:rPr>
          <w:color w:val="000000"/>
          <w:lang w:val="uk-UA"/>
        </w:rPr>
        <w:t xml:space="preserve">НК – Дерев’янко О.А., </w:t>
      </w:r>
      <w:proofErr w:type="spellStart"/>
      <w:r w:rsidRPr="00EC3996">
        <w:rPr>
          <w:color w:val="000000"/>
          <w:lang w:val="uk-UA"/>
        </w:rPr>
        <w:t>к.т</w:t>
      </w:r>
      <w:r w:rsidR="00E90DA7" w:rsidRPr="00EC3996">
        <w:rPr>
          <w:color w:val="000000"/>
          <w:lang w:val="uk-UA"/>
        </w:rPr>
        <w:t>.</w:t>
      </w:r>
      <w:r w:rsidRPr="00EC3996">
        <w:rPr>
          <w:color w:val="000000"/>
          <w:lang w:val="uk-UA"/>
        </w:rPr>
        <w:t>н</w:t>
      </w:r>
      <w:proofErr w:type="spellEnd"/>
      <w:r w:rsidR="00E90DA7" w:rsidRPr="00EC3996">
        <w:rPr>
          <w:color w:val="000000"/>
          <w:lang w:val="uk-UA"/>
        </w:rPr>
        <w:t>.</w:t>
      </w:r>
      <w:r w:rsidRPr="00EC3996">
        <w:rPr>
          <w:color w:val="000000"/>
          <w:lang w:val="uk-UA"/>
        </w:rPr>
        <w:t>, доц</w:t>
      </w:r>
      <w:r w:rsidR="004F13BE" w:rsidRPr="00EC3996">
        <w:rPr>
          <w:color w:val="000000"/>
          <w:lang w:val="uk-UA"/>
        </w:rPr>
        <w:t>ент</w:t>
      </w:r>
      <w:r w:rsidRPr="00EC3996">
        <w:rPr>
          <w:color w:val="000000"/>
          <w:lang w:val="uk-UA"/>
        </w:rPr>
        <w:t>, НУЦЗ</w:t>
      </w:r>
      <w:r w:rsidR="006E7815" w:rsidRPr="00EC3996">
        <w:rPr>
          <w:color w:val="000000"/>
          <w:lang w:val="uk-UA"/>
        </w:rPr>
        <w:t xml:space="preserve"> </w:t>
      </w:r>
      <w:r w:rsidRPr="00EC3996">
        <w:rPr>
          <w:color w:val="000000"/>
          <w:lang w:val="uk-UA"/>
        </w:rPr>
        <w:t>У</w:t>
      </w:r>
      <w:r w:rsidR="006E7815" w:rsidRPr="00EC3996">
        <w:rPr>
          <w:color w:val="000000"/>
          <w:lang w:val="uk-UA"/>
        </w:rPr>
        <w:t>країни</w:t>
      </w:r>
      <w:r w:rsidRPr="00EC3996">
        <w:rPr>
          <w:lang w:val="uk-UA"/>
        </w:rPr>
        <w:br w:type="textWrapping" w:clear="all"/>
      </w:r>
    </w:p>
    <w:p w14:paraId="0CECC2DD" w14:textId="682A6227" w:rsidR="00ED0CCD" w:rsidRPr="00ED0CCD" w:rsidRDefault="00BD49FD" w:rsidP="00ED0CCD">
      <w:pPr>
        <w:pStyle w:val="a3"/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Проведений аналіз патентної документації показав, що вдосконалення </w:t>
      </w:r>
      <w:r w:rsidR="00ED0CCD" w:rsidRPr="00ED0CCD">
        <w:rPr>
          <w:lang w:val="uk-UA"/>
        </w:rPr>
        <w:t>вибухозахищен</w:t>
      </w:r>
      <w:r>
        <w:rPr>
          <w:lang w:val="uk-UA"/>
        </w:rPr>
        <w:t xml:space="preserve">их </w:t>
      </w:r>
      <w:r w:rsidR="00ED0CCD" w:rsidRPr="00ED0CCD">
        <w:rPr>
          <w:lang w:val="uk-UA"/>
        </w:rPr>
        <w:t xml:space="preserve">сповіщувачі в Європейському Союзі </w:t>
      </w:r>
      <w:r>
        <w:rPr>
          <w:lang w:val="uk-UA"/>
        </w:rPr>
        <w:t xml:space="preserve">спрямоване на підвищення і </w:t>
      </w:r>
      <w:r w:rsidR="00ED0CCD" w:rsidRPr="00ED0CCD">
        <w:rPr>
          <w:lang w:val="uk-UA"/>
        </w:rPr>
        <w:t xml:space="preserve"> технічн</w:t>
      </w:r>
      <w:r>
        <w:rPr>
          <w:lang w:val="uk-UA"/>
        </w:rPr>
        <w:t xml:space="preserve">ого </w:t>
      </w:r>
      <w:r w:rsidR="00ED0CCD" w:rsidRPr="00ED0CCD">
        <w:rPr>
          <w:lang w:val="uk-UA"/>
        </w:rPr>
        <w:t>рів</w:t>
      </w:r>
      <w:r>
        <w:rPr>
          <w:lang w:val="uk-UA"/>
        </w:rPr>
        <w:t>ня</w:t>
      </w:r>
      <w:r w:rsidR="00ED0CCD" w:rsidRPr="00ED0CCD">
        <w:rPr>
          <w:lang w:val="uk-UA"/>
        </w:rPr>
        <w:t xml:space="preserve">. </w:t>
      </w:r>
      <w:r>
        <w:rPr>
          <w:lang w:val="uk-UA"/>
        </w:rPr>
        <w:t>Їхня конструкція часто</w:t>
      </w:r>
      <w:r w:rsidR="00ED0CCD" w:rsidRPr="00ED0CCD">
        <w:rPr>
          <w:lang w:val="uk-UA"/>
        </w:rPr>
        <w:t xml:space="preserve"> інтегруються з хмарними платформами, що дозволяє здійснювати віддалений моніторинг та управління системами. </w:t>
      </w:r>
      <w:r>
        <w:rPr>
          <w:lang w:val="uk-UA"/>
        </w:rPr>
        <w:t xml:space="preserve"> Винахідники </w:t>
      </w:r>
      <w:r w:rsidR="00ED0CCD" w:rsidRPr="00ED0CCD">
        <w:rPr>
          <w:lang w:val="uk-UA"/>
        </w:rPr>
        <w:t xml:space="preserve"> активно </w:t>
      </w:r>
      <w:r>
        <w:rPr>
          <w:lang w:val="uk-UA"/>
        </w:rPr>
        <w:t>розробляють</w:t>
      </w:r>
      <w:r w:rsidR="00ED0CCD" w:rsidRPr="00ED0CCD">
        <w:rPr>
          <w:lang w:val="uk-UA"/>
        </w:rPr>
        <w:t xml:space="preserve"> сповіщувачі UV/IR з підвищеною чутливістю </w:t>
      </w:r>
      <w:r>
        <w:rPr>
          <w:lang w:val="uk-UA"/>
        </w:rPr>
        <w:t>при</w:t>
      </w:r>
      <w:r w:rsidR="00ED0CCD" w:rsidRPr="00ED0CCD">
        <w:rPr>
          <w:lang w:val="uk-UA"/>
        </w:rPr>
        <w:t xml:space="preserve"> зменшен</w:t>
      </w:r>
      <w:r>
        <w:rPr>
          <w:lang w:val="uk-UA"/>
        </w:rPr>
        <w:t>і</w:t>
      </w:r>
      <w:r w:rsidR="00ED0CCD" w:rsidRPr="00ED0CCD">
        <w:rPr>
          <w:lang w:val="uk-UA"/>
        </w:rPr>
        <w:t xml:space="preserve"> </w:t>
      </w:r>
      <w:r>
        <w:rPr>
          <w:lang w:val="uk-UA"/>
        </w:rPr>
        <w:t xml:space="preserve">імовірності </w:t>
      </w:r>
      <w:r w:rsidR="00ED0CCD" w:rsidRPr="00ED0CCD">
        <w:rPr>
          <w:lang w:val="uk-UA"/>
        </w:rPr>
        <w:t xml:space="preserve">хибних спрацьовувань. Інтелектуальні функції, включаючи алгоритми штучного інтелекту, дозволяють пристроям аналізувати дані та адаптуватися до змінних умов середовища. Модульна конструкція </w:t>
      </w:r>
      <w:r>
        <w:rPr>
          <w:lang w:val="uk-UA"/>
        </w:rPr>
        <w:t xml:space="preserve"> систем </w:t>
      </w:r>
      <w:r w:rsidR="00ED0CCD" w:rsidRPr="00ED0CCD">
        <w:rPr>
          <w:lang w:val="uk-UA"/>
        </w:rPr>
        <w:t xml:space="preserve">спрощує обслуговування та модернізацію обладнання, а використання комбінованих сповіщувачів підвищує надійність </w:t>
      </w:r>
      <w:r>
        <w:rPr>
          <w:lang w:val="uk-UA"/>
        </w:rPr>
        <w:t xml:space="preserve"> виявлення пожежі</w:t>
      </w:r>
      <w:r w:rsidR="00ED0CCD" w:rsidRPr="00ED0CCD">
        <w:rPr>
          <w:lang w:val="uk-UA"/>
        </w:rPr>
        <w:t>.</w:t>
      </w:r>
    </w:p>
    <w:p w14:paraId="563FE86F" w14:textId="255E23EA" w:rsidR="00DF76CE" w:rsidRPr="00EC3996" w:rsidRDefault="001F70D1" w:rsidP="001F70D1">
      <w:pPr>
        <w:pStyle w:val="a3"/>
        <w:spacing w:before="0" w:beforeAutospacing="0" w:after="0" w:afterAutospacing="0"/>
        <w:jc w:val="center"/>
        <w:rPr>
          <w:lang w:val="uk-UA"/>
        </w:rPr>
      </w:pPr>
      <w:r w:rsidRPr="006A690C">
        <w:rPr>
          <w:noProof/>
        </w:rPr>
        <w:drawing>
          <wp:inline distT="0" distB="0" distL="0" distR="0" wp14:anchorId="1ECE540C" wp14:editId="6C607058">
            <wp:extent cx="4140200" cy="1343431"/>
            <wp:effectExtent l="0" t="0" r="1270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C4C97B" w14:textId="77777777" w:rsidR="00DF76CE" w:rsidRPr="00EC3996" w:rsidRDefault="00DF76CE" w:rsidP="00DF76C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547267BF" w14:textId="745D7862" w:rsidR="00DF76CE" w:rsidRPr="00EC3996" w:rsidRDefault="00DF76CE" w:rsidP="004E4AF0">
      <w:pPr>
        <w:pStyle w:val="a3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EC3996">
        <w:rPr>
          <w:b/>
          <w:bCs/>
          <w:lang w:val="uk-UA"/>
        </w:rPr>
        <w:t>Рис.1. Сп</w:t>
      </w:r>
      <w:r w:rsidR="008F0AE7">
        <w:rPr>
          <w:b/>
          <w:bCs/>
          <w:lang w:val="uk-UA"/>
        </w:rPr>
        <w:t>ос</w:t>
      </w:r>
      <w:r w:rsidR="00182C14">
        <w:rPr>
          <w:b/>
          <w:bCs/>
          <w:lang w:val="uk-UA"/>
        </w:rPr>
        <w:t>оби</w:t>
      </w:r>
      <w:r w:rsidR="008F0AE7">
        <w:rPr>
          <w:b/>
          <w:bCs/>
          <w:lang w:val="uk-UA"/>
        </w:rPr>
        <w:t xml:space="preserve"> захисту від вибуху пожежних сповіщувачів ЄС</w:t>
      </w:r>
    </w:p>
    <w:p w14:paraId="4021BDC0" w14:textId="77777777" w:rsidR="0022734E" w:rsidRPr="00EC3996" w:rsidRDefault="0022734E" w:rsidP="00DF76C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60580E28" w14:textId="193DED2F" w:rsidR="008F0AE7" w:rsidRPr="008F0AE7" w:rsidRDefault="008F0AE7" w:rsidP="008F0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Ринок вибухозахищених сповіщувачів у ЄС демонструє стабільне зростання. За оцінками, у 2024 році ринок інтелектуального вибухозахищеного обладнання складав близько 2,5 млрд доларів США і прогнозується його збільшення до 4 млрд доларів США до 2032 року. Підвищення вимог безпеки в ЄС стимулює інвестиції в нові технології та модернізацію існуючих систем. </w:t>
      </w:r>
    </w:p>
    <w:p w14:paraId="2D23FF28" w14:textId="77777777" w:rsidR="008F0AE7" w:rsidRPr="008F0AE7" w:rsidRDefault="008F0AE7" w:rsidP="008F0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 ключових виробників, що визначають тенденції ринку, варто відзначити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Siemens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Det-Tronics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FSE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Safe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Projects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Siemens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запустила лінійку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intrinsically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safe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сповіщувачі з розширеними діагностичними можливостями.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Det-Tronics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розробила UV/IR комбінаційні сповіщувачів з високою чутливістю та низькою кількістю хибних спрацьовувань. FSE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Safe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Projects</w:t>
      </w:r>
      <w:proofErr w:type="spellEnd"/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спеціалізується на інтеграції вибухозахищених детекторів з хмарними платформами для моніторингу.</w:t>
      </w:r>
    </w:p>
    <w:p w14:paraId="6FDA3615" w14:textId="66A7205B" w:rsidR="00E90DA7" w:rsidRDefault="008F0AE7" w:rsidP="008F0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0A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Прогнози розвитку ринку свідчать про подальше зростання попиту на вибухозахищені сповіщувачі в Європі. Очікується, що до 2032 року більшість нових установок будуть інтегровані з хмарними платформами, що забезпечить віддалене управління та покращить контроль за безпекою промислових об’єктів.</w:t>
      </w:r>
    </w:p>
    <w:p w14:paraId="34912477" w14:textId="77777777" w:rsidR="008F0AE7" w:rsidRPr="00EC3996" w:rsidRDefault="008F0AE7" w:rsidP="008F0A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4BD967" w14:textId="2159AC9B" w:rsidR="00E90DA7" w:rsidRPr="00EC3996" w:rsidRDefault="00E90DA7" w:rsidP="00E90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ЛІТЕРАТУРА</w:t>
      </w:r>
    </w:p>
    <w:p w14:paraId="1B32B000" w14:textId="0FEAA9C0" w:rsidR="007F5951" w:rsidRPr="00EC3996" w:rsidRDefault="00E90DA7" w:rsidP="00AB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9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Fire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Protection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Association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. NFPA 72 –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National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Fire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Alarm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Signaling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Code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Quincy</w:t>
      </w:r>
      <w:proofErr w:type="spellEnd"/>
      <w:r w:rsidR="00AB7009" w:rsidRPr="00AB7009">
        <w:rPr>
          <w:rFonts w:ascii="Times New Roman" w:hAnsi="Times New Roman" w:cs="Times New Roman"/>
          <w:sz w:val="24"/>
          <w:szCs w:val="24"/>
          <w:lang w:val="uk-UA"/>
        </w:rPr>
        <w:t>, MA: NFPA, 2022. – 427 p</w:t>
      </w:r>
    </w:p>
    <w:sectPr w:rsidR="007F5951" w:rsidRPr="00EC3996" w:rsidSect="00DF76CE">
      <w:pgSz w:w="11906" w:h="16838"/>
      <w:pgMar w:top="1560" w:right="170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5123" w14:textId="77777777" w:rsidR="000878C4" w:rsidRDefault="000878C4" w:rsidP="00BC65C3">
      <w:pPr>
        <w:spacing w:after="0" w:line="240" w:lineRule="auto"/>
      </w:pPr>
      <w:r>
        <w:separator/>
      </w:r>
    </w:p>
  </w:endnote>
  <w:endnote w:type="continuationSeparator" w:id="0">
    <w:p w14:paraId="0B3E018A" w14:textId="77777777" w:rsidR="000878C4" w:rsidRDefault="000878C4" w:rsidP="00BC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6FBB" w14:textId="77777777" w:rsidR="000878C4" w:rsidRDefault="000878C4" w:rsidP="00BC65C3">
      <w:pPr>
        <w:spacing w:after="0" w:line="240" w:lineRule="auto"/>
      </w:pPr>
      <w:r>
        <w:separator/>
      </w:r>
    </w:p>
  </w:footnote>
  <w:footnote w:type="continuationSeparator" w:id="0">
    <w:p w14:paraId="1B04B720" w14:textId="77777777" w:rsidR="000878C4" w:rsidRDefault="000878C4" w:rsidP="00BC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E"/>
    <w:rsid w:val="000363BD"/>
    <w:rsid w:val="000878C4"/>
    <w:rsid w:val="00182C14"/>
    <w:rsid w:val="001C2D2F"/>
    <w:rsid w:val="001F70D1"/>
    <w:rsid w:val="0022734E"/>
    <w:rsid w:val="004520E0"/>
    <w:rsid w:val="004E4AF0"/>
    <w:rsid w:val="004F13BE"/>
    <w:rsid w:val="0054598C"/>
    <w:rsid w:val="00646B99"/>
    <w:rsid w:val="006C0FA6"/>
    <w:rsid w:val="006C509B"/>
    <w:rsid w:val="006E7815"/>
    <w:rsid w:val="00782298"/>
    <w:rsid w:val="007F5951"/>
    <w:rsid w:val="008F0AE7"/>
    <w:rsid w:val="00AB7009"/>
    <w:rsid w:val="00BC65C3"/>
    <w:rsid w:val="00BD49FD"/>
    <w:rsid w:val="00C202DA"/>
    <w:rsid w:val="00DA2E92"/>
    <w:rsid w:val="00DF76CE"/>
    <w:rsid w:val="00E90DA7"/>
    <w:rsid w:val="00EC3996"/>
    <w:rsid w:val="00E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ED80"/>
  <w15:chartTrackingRefBased/>
  <w15:docId w15:val="{D2E5CDD5-0574-4C1A-B0B3-5EC02567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8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6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C65C3"/>
    <w:rPr>
      <w:lang w:val="ru-RU"/>
    </w:rPr>
  </w:style>
  <w:style w:type="paragraph" w:styleId="a7">
    <w:name w:val="footer"/>
    <w:basedOn w:val="a"/>
    <w:link w:val="a8"/>
    <w:uiPriority w:val="99"/>
    <w:unhideWhenUsed/>
    <w:rsid w:val="00BC6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C65C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330893410730982E-2"/>
          <c:y val="4.6442896347899512E-2"/>
          <c:w val="0.93628384145552879"/>
          <c:h val="0.85986213407934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Принцип роботи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Обмеження струму</c:v>
                </c:pt>
                <c:pt idx="1">
                  <c:v>Вибухозахист корпусу</c:v>
                </c:pt>
                <c:pt idx="2">
                  <c:v>Застосування ущільнювачів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35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80-4D35-905C-B4721AEC15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9875231"/>
        <c:axId val="1809879551"/>
      </c:barChart>
      <c:catAx>
        <c:axId val="180987523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09879551"/>
        <c:crosses val="autoZero"/>
        <c:auto val="1"/>
        <c:lblAlgn val="ctr"/>
        <c:lblOffset val="100"/>
        <c:noMultiLvlLbl val="0"/>
      </c:catAx>
      <c:valAx>
        <c:axId val="180987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18098752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Деревянко</dc:creator>
  <cp:keywords/>
  <dc:description/>
  <cp:lastModifiedBy>derevynkoaa@gmail.com</cp:lastModifiedBy>
  <cp:revision>7</cp:revision>
  <dcterms:created xsi:type="dcterms:W3CDTF">2026-02-04T13:37:00Z</dcterms:created>
  <dcterms:modified xsi:type="dcterms:W3CDTF">2026-02-04T14:50:00Z</dcterms:modified>
</cp:coreProperties>
</file>